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茶文化智能体安全威胁模型</w:t>
      </w:r>
    </w:p>
    <w:p>
      <w:pPr>
        <w:spacing w:after="640"/>
        <w:jc w:val="center"/>
      </w:pPr>
      <w:r>
        <w:rPr>
          <w:rFonts w:ascii="Microsoft YaHei" w:hAnsi="Microsoft YaHei" w:eastAsia="Microsoft YaHei"/>
          <w:color w:val="666666"/>
          <w:sz w:val="24"/>
        </w:rPr>
        <w:t>安全评审与风险控制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版本  1.0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日期  2026-09-07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状态  设计期模型，实施后必须复审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范围  比赛版与商业化版的公开 Web、API、智能体/RAG、内容后台，以及商业化版课程、商品、订单、支付、退款、物流和运营能力</w:t>
      </w:r>
    </w:p>
    <w:p>
      <w:pPr>
        <w:spacing w:before="880"/>
        <w:jc w:val="center"/>
      </w:pPr>
      <w:r>
        <w:rPr>
          <w:rFonts w:ascii="SimSun" w:hAnsi="SimSun" w:eastAsia="SimSun"/>
          <w:color w:val="666666"/>
          <w:sz w:val="20"/>
        </w:rPr>
        <w:t>用于方案评审  工作量估算  开发实施与风险控制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Executive summary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Scope and assumptions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System model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Assets and security objectives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Attacker model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Entry points and attack surfaces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Top abuse paths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Threat model table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Criticality calibration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Focus paths for security review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Quality check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Executive summary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最高风险集中在四处：AI 提示注入与知识投毒、对象级越权和员工权限滥用、支付/库存/权益的非幂等与伪造回调、个人信息或第三方密钥泄露。比赛版不处理真实交易，其主要风险是错误内容、模型额度型拒绝服务和后台接管；商业化版一旦接入支付、地址和课程权益，交易完整性与隐私风险上升为上线阻断项。本仓库目前只有设计文档，没有运行代码，因此不存在已被证实的代码级安全控制；以下控制均是发布要求，后续必须以实现、配置、测试和日志证据重新验证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Scope and assumptions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范围内路径：</w:t>
      </w:r>
    </w:p>
    <w:p>
      <w:pPr>
        <w:pStyle w:val="ListBullet"/>
      </w:pPr>
      <w:r>
        <w:rPr>
          <w:rFonts w:ascii="Consolas" w:hAnsi="Consolas" w:eastAsia="Consolas"/>
          <w:color w:val="21433C"/>
          <w:sz w:val="20"/>
        </w:rPr>
        <w:t>prd_outputs/茶文化智能体/茶文化智能体_比赛版_开发方案.md</w:t>
      </w:r>
    </w:p>
    <w:p>
      <w:pPr>
        <w:pStyle w:val="ListBullet"/>
      </w:pPr>
      <w:r>
        <w:rPr>
          <w:rFonts w:ascii="Consolas" w:hAnsi="Consolas" w:eastAsia="Consolas"/>
          <w:color w:val="21433C"/>
          <w:sz w:val="20"/>
        </w:rPr>
        <w:t>prd_outputs/茶文化智能体/茶文化智能体_商业化版_开发方案.md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 xml:space="preserve">后续按方案建立的 </w:t>
      </w:r>
      <w:r>
        <w:rPr>
          <w:rFonts w:ascii="Consolas" w:hAnsi="Consolas" w:eastAsia="Consolas"/>
          <w:color w:val="21433C"/>
          <w:sz w:val="20"/>
        </w:rPr>
        <w:t>src/identity/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src/agent/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src/rag/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src/orders/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src/payments/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src/inventory/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src/entitlements/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src/privacy/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src/admin/</w:t>
      </w:r>
      <w:r>
        <w:rPr>
          <w:rFonts w:ascii="SimSun" w:hAnsi="SimSun" w:eastAsia="SimSun"/>
          <w:color w:val="202020"/>
          <w:sz w:val="21"/>
        </w:rPr>
        <w:t xml:space="preserve"> 与 </w:t>
      </w:r>
      <w:r>
        <w:rPr>
          <w:rFonts w:ascii="Consolas" w:hAnsi="Consolas" w:eastAsia="Consolas"/>
          <w:color w:val="21433C"/>
          <w:sz w:val="20"/>
        </w:rPr>
        <w:t>infra/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范围外：</w:t>
      </w:r>
      <w:r>
        <w:rPr>
          <w:rFonts w:ascii="SimSun" w:hAnsi="SimSun" w:eastAsia="SimSun"/>
          <w:color w:val="202020"/>
          <w:sz w:val="21"/>
        </w:rPr>
        <w:t xml:space="preserve"> 自营支付、银行卡存储、商户入驻、多租户 SaaS、原生 App、直播、社区 UGC、线下仓储系统和自主替用户下单。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已由用户确认的假设：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产品面向互联网公开访问，首发为中文响应式 Web/H5。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大模型由第三方 API 提供；服务端持有密钥，并对出站内容最小化和脱敏。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商业化版由单一合法运营主体经营，通过持牌第三方支付，不保存卡号或支付密码。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保存的数据可能包括账号、联系方式、收货地址、对话、学习进度、订单和售后信息。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权限至少区分访客、用户、内容/商品运营、客服、财务和管理员。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比赛版不发生真实支付，只记录匿名行为和经同意的意向信息。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会实质改变评级的开放问题：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若未来开放商户入驻或学校/机构租户，跨租户访问将上升为严重风险并需要独立数据隔离设计。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若供应商将提示或对话用于训练，或数据出境条件改变，第三方模型数据风险需重新评级。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若平台引入储值、分账或余额账户，支付域必须升级为独立资金与账务威胁模型。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System model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Primary 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设计证据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Web/H5 与运营后台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公开问答、浏览、购买、学习和员工运营入口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两版方案第 11、15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API/身份边界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输入校验、会话、RBAC、对象授权、限流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商业化 FR-B01、第 10、14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Agent/RAG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意图、检索、重排、提示隔离、引用与护栏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两版方案第 9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关系数据库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用户、内容、课程、商品、订单、支付、权益和审计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两版方案第 13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队列与 Worker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Outbox、通知、索引、物流、分析和补偿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商业化第 11、17、19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对象存储/CDN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图片、附件和课程媒体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两版方案第 16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第三方模型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语言理解与回答生成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两版方案第 16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第三方支付/物流/通知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商业交易和履约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商业化第 14、16、17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监控与审计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脱敏指标、日志、trace、AI 成本和高影响操作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两版方案第 10、18、24 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Data flows and trust boundaries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互联网用户 → Web/API：</w:t>
      </w:r>
      <w:r>
        <w:rPr>
          <w:rFonts w:ascii="SimSun" w:hAnsi="SimSun" w:eastAsia="SimSun"/>
          <w:color w:val="202020"/>
          <w:sz w:val="21"/>
        </w:rPr>
        <w:t xml:space="preserve"> 问题、测评、账号凭据、订单和售后信息经 HTTPS 进入；要求限流、CSRF/来源保护、schema 校验、身份与资源级授权。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员工 → 运营后台/API：</w:t>
      </w:r>
      <w:r>
        <w:rPr>
          <w:rFonts w:ascii="SimSun" w:hAnsi="SimSun" w:eastAsia="SimSun"/>
          <w:color w:val="202020"/>
          <w:sz w:val="21"/>
        </w:rPr>
        <w:t xml:space="preserve"> 内容、价格、库存、退款和权限操作经 MFA 会话进入；要求 RBAC、职责分离、二次确认和追加式审计。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API → Agent/RAG：</w:t>
      </w:r>
      <w:r>
        <w:rPr>
          <w:rFonts w:ascii="SimSun" w:hAnsi="SimSun" w:eastAsia="SimSun"/>
          <w:color w:val="202020"/>
          <w:sz w:val="21"/>
        </w:rPr>
        <w:t xml:space="preserve"> 用户提示、画像和允许的业务上下文经内部接口传递；要求字段白名单、提示/资料隔离和硬性工具权限。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Agent/RAG → 第三方模型：</w:t>
      </w:r>
      <w:r>
        <w:rPr>
          <w:rFonts w:ascii="SimSun" w:hAnsi="SimSun" w:eastAsia="SimSun"/>
          <w:color w:val="202020"/>
          <w:sz w:val="21"/>
        </w:rPr>
        <w:t xml:space="preserve"> 脱敏提示与已授权检索片段经 TLS API 发出；不得包含支付凭据、明文联系方式或系统密钥。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API/业务模块 → 数据库：</w:t>
      </w:r>
      <w:r>
        <w:rPr>
          <w:rFonts w:ascii="SimSun" w:hAnsi="SimSun" w:eastAsia="SimSun"/>
          <w:color w:val="202020"/>
          <w:sz w:val="21"/>
        </w:rPr>
        <w:t xml:space="preserve"> 业务状态经参数化查询和事务写入；要求最小数据库权限、加密、备份和并发控制。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交易模块 ↔ 第三方支付：</w:t>
      </w:r>
      <w:r>
        <w:rPr>
          <w:rFonts w:ascii="SimSun" w:hAnsi="SimSun" w:eastAsia="SimSun"/>
          <w:color w:val="202020"/>
          <w:sz w:val="21"/>
        </w:rPr>
        <w:t xml:space="preserve"> 订单号、金额、商户信息、渠道流水经签名 API/回调交换；要求验签、时间窗、金额与商户校验、主动查询和对账。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业务模块 → 队列/Worker：</w:t>
      </w:r>
      <w:r>
        <w:rPr>
          <w:rFonts w:ascii="SimSun" w:hAnsi="SimSun" w:eastAsia="SimSun"/>
          <w:color w:val="202020"/>
          <w:sz w:val="21"/>
        </w:rPr>
        <w:t xml:space="preserve"> Outbox 事件异步触发权益、通知、索引和物流；要求幂等消费者、重试、死信和队列积压告警。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学习服务 → 媒体/CDN：</w:t>
      </w:r>
      <w:r>
        <w:rPr>
          <w:rFonts w:ascii="SimSun" w:hAnsi="SimSun" w:eastAsia="SimSun"/>
          <w:color w:val="202020"/>
          <w:sz w:val="21"/>
        </w:rPr>
        <w:t xml:space="preserve"> 已授权用户获得短时签名地址；要求私有源站、权益校验、到期和盗链检测。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运行服务 → 监控/审计：</w:t>
      </w:r>
      <w:r>
        <w:rPr>
          <w:rFonts w:ascii="SimSun" w:hAnsi="SimSun" w:eastAsia="SimSun"/>
          <w:color w:val="202020"/>
          <w:sz w:val="21"/>
        </w:rPr>
        <w:t xml:space="preserve"> 脱敏日志、指标和操作摘要进入内部平台；要求字段白名单、访问控制、留存和防篡改。</w:t>
      </w:r>
    </w:p>
    <w:p>
      <w:pPr>
        <w:pStyle w:val="Heading3"/>
        <w:keepNext/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Diagram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>flowchart LR</w:t>
        <w:br/>
        <w:t xml:space="preserve">  U["公众与用户"] --&gt;|HTTPS| E["Web API"]</w:t>
        <w:br/>
        <w:t xml:space="preserve">  O["运营与财务"] --&gt;|MFA HTTPS| E</w:t>
        <w:br/>
        <w:t xml:space="preserve">  E --&gt;|授权调用| B["业务模块"]</w:t>
        <w:br/>
        <w:t xml:space="preserve">  E --&gt;|受控提示| A["Agent RAG"]</w:t>
        <w:br/>
        <w:t xml:space="preserve">  A --&gt;|脱敏请求| L["第三方模型"]</w:t>
        <w:br/>
        <w:t xml:space="preserve">  B --&gt;|事务| D["业务数据库"]</w:t>
        <w:br/>
        <w:t xml:space="preserve">  B --&gt;|签名请求| P["第三方支付"]</w:t>
        <w:br/>
        <w:t xml:space="preserve">  P --&gt;|验签回调| E</w:t>
        <w:br/>
        <w:t xml:space="preserve">  B --&gt;|事件| Q["队列 Worker"]</w:t>
        <w:br/>
        <w:t xml:space="preserve">  Q --&gt;|渠道调用| X["物流与通知"]</w:t>
        <w:br/>
        <w:t xml:space="preserve">  E --&gt;|短时签名| M["媒体 CDN"]</w:t>
        <w:br/>
        <w:t xml:space="preserve">  B --&gt;|脱敏记录| S["监控审计"]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Assets and security objectives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Security objective (C/I/A)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账号、联系方式、地址、对话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个人信息泄露会伤害用户并带来合规风险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C/I/A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订单、支付、退款、库存、权益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错误会造成资金、履约和数字权益损失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I/A；支付数据 C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知识、来源、提示词、推荐规则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决定回答和消费建议的可信度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I/A；内部提示部分 C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课程媒体与版权资料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核心可售数字资产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C/I/A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模型、支付、存储和渠道密钥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泄露可跨系统滥用、窃取数据或制造费用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C/I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角色、同意和审计记录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决定权限、责任追溯与合法处理依据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I/A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模型额度和服务容量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被耗尽会使问答或交易不可用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Attacker model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Capabilities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未登录攻击者可构造 HTTP、提示词和上传内容，自动化请求并观察响应差异。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注册用户可操纵客户端金额/标识、发起并发重试、尝试访问他人资源及滥用优惠/退款。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被盗或恶意员工账号可使用其角色权限访问后台并尝试提权、导出或篡改。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恶意资料、外部模型响应、支付/物流回调和依赖包都属于潜在不可信输入。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攻击者可利用网络中断、乱序、重复投递和超时触发业务边界条件。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Non-capabilities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默认攻击者没有云控制台、生产数据库或持牌支付机构内部权限。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平台不保存银行卡号、支付密码或自有资金账户。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v1 不存在商户/学校间的多租户边界，也没有可由 Agent 自主执行的支付工具。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物理仓库、线下终端和课程拍摄现场不在当前系统范围。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Entry points and attack surfaces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How reached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Trust boundary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Notes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注册、登录、找回、MFA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公开 HTTPS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互联网→身份服务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撞库、枚举、会话固定、验证码滥用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商业化 FR-B01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Chat/测评/推荐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公开/登录 API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用户→Agent/业务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注入、敏感输入、额度 DoS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两版 FR-C01/C02、FR-B02/B03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课程/商品/媒体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API 与签名 URL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用户→目录/权益/CDN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对象越权、盗链、状态过期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商业化 FR-B04～B06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订单/支付/退款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登录 API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用户→交易核心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客户端篡改、竞态、重复执行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商业化 FR-B07、B10、B11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支付回调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外部 HTTPS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支付渠道→API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伪造、重放、乱序、金额不符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商业化第 14、17 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运营后台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MFA HTTPS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员工→高权限模块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权限滥用、账号接管、批量导出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两版 FR-C06、FR-B08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内容/媒体导入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后台上传/粘贴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员工输入→解析/索引/存储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恶意文件、知识投毒、间接注入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两版第 9 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物流/通知回调与 API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外部接口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外部渠道↔Worker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假状态、PII 过度共享、重试风暴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商业化第 16、17 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日志、分析、审计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内部界面/导出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生产→内部系统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明文敏感信息、日志投毒、过权访问</w:t>
            </w:r>
          </w:p>
        </w:tc>
        <w:tc>
          <w:tcPr>
            <w:tcW w:type="dxa" w:w="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两版可观测与威胁模型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Top abuse paths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污染回答：</w:t>
      </w:r>
      <w:r>
        <w:rPr>
          <w:rFonts w:ascii="SimSun" w:hAnsi="SimSun" w:eastAsia="SimSun"/>
          <w:color w:val="202020"/>
          <w:sz w:val="21"/>
        </w:rPr>
        <w:t xml:space="preserve"> 攻击者或误操作人员把含隐藏指令的资料送入审核 → 内容被发布和索引 → RAG 把指令当资料交给模型 → 多用户收到错误、偏向或泄密回答。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模型越界：</w:t>
      </w:r>
      <w:r>
        <w:rPr>
          <w:rFonts w:ascii="SimSun" w:hAnsi="SimSun" w:eastAsia="SimSun"/>
          <w:color w:val="202020"/>
          <w:sz w:val="21"/>
        </w:rPr>
        <w:t xml:space="preserve"> 攻击者提交提示注入 → 模型试图忽略系统规则或索要工具 → 未隔离的编排执行敏感查询 → 暴露内部提示、他人数据或业务状态。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支付绕过：</w:t>
      </w:r>
      <w:r>
        <w:rPr>
          <w:rFonts w:ascii="SimSun" w:hAnsi="SimSun" w:eastAsia="SimSun"/>
          <w:color w:val="202020"/>
          <w:sz w:val="21"/>
        </w:rPr>
        <w:t xml:space="preserve"> 攻击者伪造/重放回调或篡改客户端成功状态 → 服务端未验签/查询 → 订单误标已支付 → 免费获得课程权益或商品履约。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竞态获利：</w:t>
      </w:r>
      <w:r>
        <w:rPr>
          <w:rFonts w:ascii="SimSun" w:hAnsi="SimSun" w:eastAsia="SimSun"/>
          <w:color w:val="202020"/>
          <w:sz w:val="21"/>
        </w:rPr>
        <w:t xml:space="preserve"> 用户并发提交订单、优惠、退款或库存释放 → 缺少幂等/唯一约束 → 重复权益、重复退款或负库存。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对象越权：</w:t>
      </w:r>
      <w:r>
        <w:rPr>
          <w:rFonts w:ascii="SimSun" w:hAnsi="SimSun" w:eastAsia="SimSun"/>
          <w:color w:val="202020"/>
          <w:sz w:val="21"/>
        </w:rPr>
        <w:t xml:space="preserve"> 用户枚举订单、地址、课程或会话标识 → API 只校验登录未校验归属 → 获取他人 PII、订单或课程内容。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后台接管：</w:t>
      </w:r>
      <w:r>
        <w:rPr>
          <w:rFonts w:ascii="SimSun" w:hAnsi="SimSun" w:eastAsia="SimSun"/>
          <w:color w:val="202020"/>
          <w:sz w:val="21"/>
        </w:rPr>
        <w:t xml:space="preserve"> 员工凭证被钓鱼 → 攻击者登录高权限后台 → 修改价格/知识、批量导出或批准退款 → 造成资金、隐私与信誉损失。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媒体盗取：</w:t>
      </w:r>
      <w:r>
        <w:rPr>
          <w:rFonts w:ascii="SimSun" w:hAnsi="SimSun" w:eastAsia="SimSun"/>
          <w:color w:val="202020"/>
          <w:sz w:val="21"/>
        </w:rPr>
        <w:t xml:space="preserve"> 未购用户获得长期可分享媒体 URL → 绕过权益检查批量下载 → 课程版权和收入损失。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费用型 DoS：</w:t>
      </w:r>
      <w:r>
        <w:rPr>
          <w:rFonts w:ascii="SimSun" w:hAnsi="SimSun" w:eastAsia="SimSun"/>
          <w:color w:val="202020"/>
          <w:sz w:val="21"/>
        </w:rPr>
        <w:t xml:space="preserve"> 机器人批量触发大模型、短信或昂贵检索 → 耗尽配额/预算 → 正常用户不可用并产生账单。</w:t>
      </w:r>
    </w:p>
    <w:p>
      <w:pPr>
        <w:pStyle w:val="ListNumber"/>
      </w:pPr>
      <w:r>
        <w:rPr>
          <w:rFonts w:ascii="SimSun" w:hAnsi="SimSun" w:eastAsia="SimSun"/>
          <w:b/>
          <w:color w:val="202020"/>
          <w:sz w:val="21"/>
        </w:rPr>
        <w:t>供应链与密钥：</w:t>
      </w:r>
      <w:r>
        <w:rPr>
          <w:rFonts w:ascii="SimSun" w:hAnsi="SimSun" w:eastAsia="SimSun"/>
          <w:color w:val="202020"/>
          <w:sz w:val="21"/>
        </w:rPr>
        <w:t xml:space="preserve"> 密钥被提交到仓库/日志或依赖包被污染 → 攻击者调用模型、存储或支付 API → 数据、资金和服务受影响。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Threat model table</w:t>
      </w:r>
    </w:p>
    <w:p>
      <w:r>
        <w:rPr>
          <w:rFonts w:ascii="SimSun" w:hAnsi="SimSun" w:eastAsia="SimSun"/>
          <w:i/>
          <w:color w:val="666666"/>
          <w:sz w:val="18"/>
        </w:rPr>
        <w:t>以下内容按记录展开，以保证在纵向页面中可读。</w:t>
      </w:r>
    </w:p>
    <w:p>
      <w:pPr>
        <w:pStyle w:val="Heading2"/>
      </w:pPr>
      <w:r>
        <w:t>TM-001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公开用户/恶意资料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可调用 Chat 或内容被发布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直接/间接提示注入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越界回答、规则泄露、错误建议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提示词、知识、信誉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无已验证代码控制；设计要求见两版第 9 节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实现未知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固定工作流、工具白名单、提示/资料隔离、注入评测、输出策略；模型永不直执交易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注入特征、异常工具意图、拒答率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TM-002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内容运营/被污染来源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可提交或审核知识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知识投毒、错误来源或越权索引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批量错误回答、私有内容泄露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知识、课程、信誉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设计要求：发布状态、来源、版本、审核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无实现证据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高风险双人审核；检索前权限过滤；发布后黄金集；快速回滚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新版本后质量突降、异常来源/批量发布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TM-003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互联网用户/被盗会话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API 缺少资源级授权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枚举或替换对象 ID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读取/修改他人订单、地址、课程或对话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PII、订单、权益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设计要求：RBAC、对象归属、高熵 ID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无实现证据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每端点授权中间件+领域校验；批量接口限额；授权负向测试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大量 403/404、跨账号对象访问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TM-004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伪造支付方/重放者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回调校验不完整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伪造、重放、乱序或改金额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免费权益、错误履约、资金损失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支付、订单、库存、权益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设计要求：验签、商户/金额校验、主动查询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无实现证据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时间窗/nonce；渠道流水唯一；未知态；每日对账；密钥轮换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回调与主动查询不一致、重复流水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TM-005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恶意/并发用户、失败重试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写操作非幂等或锁错误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重复下单、核券、退款、发权益或库存竞态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资金/库存/权益错误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订单、库存、优惠、退款、权益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设计要求：幂等键、状态机、唯一约束、Outbox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无实现与并发测试证据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数据库条件更新；不可变快照；幂等消费者；补偿与故障注入测试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负库存、重复渠道流水、状态逆转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TM-006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外部/内部攻击者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过度收集、越权或日志明文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导出、日志泄露、第三方过度传输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隐私事件、合规与用户伤害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PII、对话、地址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设计要求：加密、脱敏、最小化、同意/删除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数据映射和供应商条款待实现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字段级数据清单、DLP、导出审批、留存任务、出站白名单、访问审计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批量读取、敏感字段扫描、异常出站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TM-007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未购用户/链接接收者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媒体 URL 长期有效或源站公开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盗链和批量下载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课程资产与收入损失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视频、讲义、权益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设计要求：私有源站、短时签名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水印/设备策略未实现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每次播放校验权益；短 TTL；会话/设备绑定；基础水印和并发限制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异常地域、下载量、并发设备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TM-008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机器人/竞争者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匿名或低成本访问昂贵接口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消耗模型、短信和计算配额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费用上升、核心服务不可用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模型额度、容量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设计要求：多维限流、预算熔断、缓存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风控实现未知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IP/设备/账号联合配额；验证码；业务优先级隔离；硬预算上限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token/短信突增、429、队列深度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TM-009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被盗员工账号/内部人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获得运营、客服或财务权限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批量导出、篡改、退款或提权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PII、资金、内容与审计受损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几乎所有高价值资产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设计要求：MFA、RBAC、职责分离、审计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临时提权与异常检测未实现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最小权限、JIT 提权、双人审批、不可改审计、定期复核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异地登录、批量查询、异常退款/发布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TM-010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供应链攻击者/配置错误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依赖污染或密钥进入仓库/日志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窃取密钥或执行供应链代码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跨系统数据、费用和可用性损失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密钥、构建产物、所有外部服务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当前仓库无应用依赖；设计要求见实施约束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CI/构建尚不存在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密钥管理、最小出站权限、锁定依赖、SBOM、签名构建、扫描和轮换演练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密钥/依赖扫描、异常供应商调用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high</w:t>
      </w:r>
    </w:p>
    <w:p>
      <w:pPr>
        <w:pStyle w:val="Heading2"/>
      </w:pPr>
      <w:r>
        <w:t>TM-011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恶意上传者/运营误操作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可上传图片、文档或视频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恶意格式、超大文件、解析器漏洞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存储 DoS、后台或处理器受损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可用性、员工会话、媒体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仅有类型/大小校验设计要求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解析沙箱未知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魔数/扩展双检、大小/像素/时长限制、恶意软件扫描、隔离转码、私有隔离区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扫描命中、解析崩溃、异常资源占用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pStyle w:val="Heading2"/>
      </w:pPr>
      <w:r>
        <w:t>TM-012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source  </w:t>
      </w:r>
      <w:r>
        <w:rPr>
          <w:rFonts w:ascii="SimSun" w:hAnsi="SimSun" w:eastAsia="SimSun"/>
          <w:color w:val="202020"/>
          <w:sz w:val="18"/>
        </w:rPr>
        <w:t>日志输入者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Prerequisites  </w:t>
      </w:r>
      <w:r>
        <w:rPr>
          <w:rFonts w:ascii="SimSun" w:hAnsi="SimSun" w:eastAsia="SimSun"/>
          <w:color w:val="202020"/>
          <w:sz w:val="18"/>
        </w:rPr>
        <w:t>可控制被记录字段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Threat action  </w:t>
      </w:r>
      <w:r>
        <w:rPr>
          <w:rFonts w:ascii="SimSun" w:hAnsi="SimSun" w:eastAsia="SimSun"/>
          <w:color w:val="202020"/>
          <w:sz w:val="18"/>
        </w:rPr>
        <w:t>日志注入、伪造记录或触发敏感信息落盘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 </w:t>
      </w:r>
      <w:r>
        <w:rPr>
          <w:rFonts w:ascii="SimSun" w:hAnsi="SimSun" w:eastAsia="SimSun"/>
          <w:color w:val="202020"/>
          <w:sz w:val="18"/>
        </w:rPr>
        <w:t>检测失真、隐私泄露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Impacted assets  </w:t>
      </w:r>
      <w:r>
        <w:rPr>
          <w:rFonts w:ascii="SimSun" w:hAnsi="SimSun" w:eastAsia="SimSun"/>
          <w:color w:val="202020"/>
          <w:sz w:val="18"/>
        </w:rPr>
        <w:t>日志、审计、PII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Existing controls (evidence)  </w:t>
      </w:r>
      <w:r>
        <w:rPr>
          <w:rFonts w:ascii="SimSun" w:hAnsi="SimSun" w:eastAsia="SimSun"/>
          <w:color w:val="202020"/>
          <w:sz w:val="18"/>
        </w:rPr>
        <w:t>设计要求：字段白名单、脱敏、关联 ID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Gaps  </w:t>
      </w:r>
      <w:r>
        <w:rPr>
          <w:rFonts w:ascii="SimSun" w:hAnsi="SimSun" w:eastAsia="SimSun"/>
          <w:color w:val="202020"/>
          <w:sz w:val="18"/>
        </w:rPr>
        <w:t>防篡改格式未实现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Recommended mitigations  </w:t>
      </w:r>
      <w:r>
        <w:rPr>
          <w:rFonts w:ascii="SimSun" w:hAnsi="SimSun" w:eastAsia="SimSun"/>
          <w:color w:val="202020"/>
          <w:sz w:val="18"/>
        </w:rPr>
        <w:t>结构化日志、换行编码、敏感字段屏蔽、审计摘要签名/追加存储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Detection ideas  </w:t>
      </w:r>
      <w:r>
        <w:rPr>
          <w:rFonts w:ascii="SimSun" w:hAnsi="SimSun" w:eastAsia="SimSun"/>
          <w:color w:val="202020"/>
          <w:sz w:val="18"/>
        </w:rPr>
        <w:t>日志格式异常、DLP 命中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Likelihood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Impact severity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Priority  </w:t>
      </w:r>
      <w:r>
        <w:rPr>
          <w:rFonts w:ascii="SimSun" w:hAnsi="SimSun" w:eastAsia="SimSun"/>
          <w:color w:val="202020"/>
          <w:sz w:val="18"/>
        </w:rPr>
        <w:t>medium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Criticality calibration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critical：</w:t>
      </w:r>
      <w:r>
        <w:rPr>
          <w:rFonts w:ascii="SimSun" w:hAnsi="SimSun" w:eastAsia="SimSun"/>
          <w:color w:val="202020"/>
          <w:sz w:val="21"/>
        </w:rPr>
        <w:t xml:space="preserve"> 未认证远程代码执行；可重复绕过支付并大规模履约；管理员/支付密钥失陷导致平台级资金或 PII 损失。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high：</w:t>
      </w:r>
      <w:r>
        <w:rPr>
          <w:rFonts w:ascii="SimSun" w:hAnsi="SimSun" w:eastAsia="SimSun"/>
          <w:color w:val="202020"/>
          <w:sz w:val="21"/>
        </w:rPr>
        <w:t xml:space="preserve"> 稳定跨账号读取订单/地址；知识投毒影响大量用户；重复退款/权益/负库存；批量课程盗取；员工高权限滥用。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medium：</w:t>
      </w:r>
      <w:r>
        <w:rPr>
          <w:rFonts w:ascii="SimSun" w:hAnsi="SimSun" w:eastAsia="SimSun"/>
          <w:color w:val="202020"/>
          <w:sz w:val="21"/>
        </w:rPr>
        <w:t xml:space="preserve"> 需要特定条件的小范围个人信息泄露；可通过限流快速恢复的费用型 DoS；单个订单状态错乱但可对账修复。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low：</w:t>
      </w:r>
      <w:r>
        <w:rPr>
          <w:rFonts w:ascii="SimSun" w:hAnsi="SimSun" w:eastAsia="SimSun"/>
          <w:color w:val="202020"/>
          <w:sz w:val="21"/>
        </w:rPr>
        <w:t xml:space="preserve"> 不涉及敏感数据、资金、权益或核心可用性，且影响短暂、可由用户自行恢复的非核心展示问题。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当前没有被代码证实的 critical 项；TM-001 至 TM-010 均因暴露面、潜在影响和缺少实现证据列为 high 设计风险，必须在对应能力上线前关闭或形成正式风险接受。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Focus paths for security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Related Threat IDs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src/identity/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身份、会话、MFA、角色和对象授权根边界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TM-003、TM-006、TM-009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src/api/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所有公开输入、schema、限流、CSRF 和错误处理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TM-003、TM-008、TM-011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src/agent/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系统提示、工具权限、循环和输出控制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TM-001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src/rag/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内容隔离、权限过滤、投毒和引用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TM-001、TM-002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src/content/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审核、发布、下线、上传和版本回滚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TM-002、TM-011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src/orders/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金额快照、对象归属和状态机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TM-003、TM-005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src/payments/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回调、验签、幂等、未知态、退款和对账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TM-004、TM-005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src/inventory/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原子预占、释放和并发正确性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TM-005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src/entitlements/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课程权限、媒体签名和重复发放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TM-003、TM-005、TM-007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src/privacy/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同意、加密、留存、导出、删除和模型出站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TM-006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src/admin/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高权限操作、职责分离和导出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TM-009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src/uploads/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文件验证、扫描、解析和隔离转码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TM-011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src/observability/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脱敏、结构化日志和异常检测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TM-006、TM-008、TM-012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infra/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密钥、网络边界、备份、CI、依赖和供应链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TM-006、TM-010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Quality check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☒ </w:t>
      </w:r>
      <w:r>
        <w:rPr>
          <w:rFonts w:ascii="SimSun" w:hAnsi="SimSun" w:eastAsia="SimSun"/>
          <w:color w:val="202020"/>
          <w:sz w:val="21"/>
        </w:rPr>
        <w:t>覆盖公开/登录 API、员工后台、内容上传、第三方回调、媒体和日志入口。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☒ </w:t>
      </w:r>
      <w:r>
        <w:rPr>
          <w:rFonts w:ascii="SimSun" w:hAnsi="SimSun" w:eastAsia="SimSun"/>
          <w:color w:val="202020"/>
          <w:sz w:val="21"/>
        </w:rPr>
        <w:t>每个主要信任边界至少映射到一个威胁与检测建议。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☒ </w:t>
      </w:r>
      <w:r>
        <w:rPr>
          <w:rFonts w:ascii="SimSun" w:hAnsi="SimSun" w:eastAsia="SimSun"/>
          <w:color w:val="202020"/>
          <w:sz w:val="21"/>
        </w:rPr>
        <w:t>明确区分运行时设计、未来 CI/构建供应链和当前仅有文档的仓库状态。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☒ </w:t>
      </w:r>
      <w:r>
        <w:rPr>
          <w:rFonts w:ascii="SimSun" w:hAnsi="SimSun" w:eastAsia="SimSun"/>
          <w:color w:val="202020"/>
          <w:sz w:val="21"/>
        </w:rPr>
        <w:t>使用用户已确认的互联网暴露、第三方模型、第三方支付、数据类型和单一运营主体假设。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☒ </w:t>
      </w:r>
      <w:r>
        <w:rPr>
          <w:rFonts w:ascii="SimSun" w:hAnsi="SimSun" w:eastAsia="SimSun"/>
          <w:color w:val="202020"/>
          <w:sz w:val="21"/>
        </w:rPr>
        <w:t>明确所有控制尚待实现和验证，没有把设计要求描述为既有事实。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☒ </w:t>
      </w:r>
      <w:r>
        <w:rPr>
          <w:rFonts w:ascii="SimSun" w:hAnsi="SimSun" w:eastAsia="SimSun"/>
          <w:color w:val="202020"/>
          <w:sz w:val="21"/>
        </w:rPr>
        <w:t>为所有 high 风险给出具体预防、监控和后续人工评审路径。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imSun" w:hAnsi="SimSun" w:eastAsia="SimSun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imSun" w:hAnsi="SimSun" w:eastAsia="SimSun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茶文化智能体安全威胁模型</dc:title>
  <dc:subject>茶文化智能体开发与安全方案</dc:subject>
  <dc:creator>Codex</dc:creator>
  <cp:keywords>茶文化 智能体 PRD 架构 安全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