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BF278">
      <w:pPr>
        <w:rPr>
          <w:rFonts w:hint="eastAsia" w:ascii="Calibri" w:hAnsi="Calibri" w:eastAsia="宋体" w:cs="Arial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</w:t>
      </w:r>
      <w:r>
        <w:rPr>
          <w:rFonts w:hint="eastAsia" w:ascii="Calibri" w:hAnsi="Calibri" w:eastAsia="宋体" w:cs="Arial"/>
          <w:sz w:val="32"/>
          <w:szCs w:val="32"/>
          <w:lang w:val="en-US" w:eastAsia="zh-CN"/>
        </w:rPr>
        <w:t xml:space="preserve"> 引沁济蟒渠</w:t>
      </w:r>
    </w:p>
    <w:p w14:paraId="7AE25AD2">
      <w:pPr>
        <w:rPr>
          <w:rFonts w:hint="default" w:ascii="Calibri" w:hAnsi="Calibri" w:eastAsia="宋体" w:cs="Arial"/>
          <w:sz w:val="32"/>
          <w:szCs w:val="32"/>
          <w:lang w:val="en-US" w:eastAsia="zh-CN"/>
        </w:rPr>
      </w:pPr>
      <w:r>
        <w:rPr>
          <w:rFonts w:hint="default" w:ascii="Calibri" w:hAnsi="Calibri" w:eastAsia="宋体" w:cs="Arial"/>
          <w:sz w:val="32"/>
          <w:szCs w:val="32"/>
          <w:lang w:val="en-US" w:eastAsia="zh-CN"/>
        </w:rPr>
        <w:drawing>
          <wp:inline distT="0" distB="0" distL="114300" distR="114300">
            <wp:extent cx="5146675" cy="3003550"/>
            <wp:effectExtent l="0" t="0" r="9525" b="6350"/>
            <wp:docPr id="1" name="图片 1" descr="a10c9e68d141435e32d89aa606733f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0c9e68d141435e32d89aa606733fe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24CA">
      <w:pPr>
        <w:rPr>
          <w:rFonts w:hint="default" w:ascii="Calibri" w:hAnsi="Calibri" w:eastAsia="宋体" w:cs="Arial"/>
          <w:sz w:val="32"/>
          <w:szCs w:val="32"/>
          <w:lang w:val="en-US" w:eastAsia="zh-CN"/>
        </w:rPr>
      </w:pPr>
      <w:r>
        <w:rPr>
          <w:rFonts w:hint="default" w:ascii="Calibri" w:hAnsi="Calibri" w:eastAsia="宋体" w:cs="Arial"/>
          <w:sz w:val="32"/>
          <w:szCs w:val="32"/>
          <w:lang w:val="en-US" w:eastAsia="zh-CN"/>
        </w:rPr>
        <w:drawing>
          <wp:inline distT="0" distB="0" distL="114300" distR="114300">
            <wp:extent cx="5268595" cy="3223895"/>
            <wp:effectExtent l="0" t="0" r="1905" b="1905"/>
            <wp:docPr id="2" name="图片 2" descr="c106fb411789fecdc6c6441a77cee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106fb411789fecdc6c6441a77ceec4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6F02">
      <w:pPr>
        <w:rPr>
          <w:rFonts w:hint="default" w:ascii="Calibri" w:hAnsi="Calibri" w:eastAsia="宋体" w:cs="Arial"/>
          <w:sz w:val="32"/>
          <w:szCs w:val="32"/>
          <w:lang w:val="en-US" w:eastAsia="zh-CN"/>
        </w:rPr>
      </w:pPr>
      <w:r>
        <w:rPr>
          <w:rFonts w:hint="default" w:ascii="Calibri" w:hAnsi="Calibri" w:eastAsia="宋体" w:cs="Arial"/>
          <w:sz w:val="32"/>
          <w:szCs w:val="32"/>
          <w:lang w:val="en-US" w:eastAsia="zh-CN"/>
        </w:rPr>
        <w:drawing>
          <wp:inline distT="0" distB="0" distL="114300" distR="114300">
            <wp:extent cx="5268595" cy="3129915"/>
            <wp:effectExtent l="0" t="0" r="1905" b="6985"/>
            <wp:docPr id="3" name="图片 3" descr="5a0df864a55f439221f220fcbf2869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a0df864a55f439221f220fcbf2869d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ECFC">
      <w:pPr>
        <w:rPr>
          <w:rFonts w:hint="default" w:ascii="Calibri" w:hAnsi="Calibri" w:eastAsia="宋体" w:cs="Arial"/>
          <w:sz w:val="32"/>
          <w:szCs w:val="32"/>
          <w:lang w:val="en-US" w:eastAsia="zh-CN"/>
        </w:rPr>
      </w:pPr>
      <w:r>
        <w:rPr>
          <w:rFonts w:hint="eastAsia" w:ascii="Calibri" w:hAnsi="Calibri" w:eastAsia="宋体" w:cs="Arial"/>
          <w:sz w:val="32"/>
          <w:szCs w:val="32"/>
          <w:lang w:val="en-US" w:eastAsia="zh-CN"/>
        </w:rPr>
        <w:t xml:space="preserve">                    </w:t>
      </w:r>
      <w:r>
        <w:rPr>
          <w:rFonts w:hint="eastAsia"/>
          <w:color w:val="FF0000"/>
          <w:sz w:val="32"/>
          <w:szCs w:val="32"/>
          <w:lang w:val="en-US" w:eastAsia="zh-CN"/>
        </w:rPr>
        <w:t>讲解：</w:t>
      </w:r>
    </w:p>
    <w:p w14:paraId="203038B6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引沁济蟒渠是二十世纪六十年代，河南省济源、孟县（今孟州市）等地人民发扬“愚公移山”精神，克服艰难险阻修建的大型水利工程。</w:t>
      </w:r>
      <w:r>
        <w:rPr>
          <w:rFonts w:hint="eastAsia"/>
          <w:color w:val="000000"/>
          <w:sz w:val="22"/>
          <w:szCs w:val="22"/>
          <w:lang w:val="en-US" w:eastAsia="zh-CN"/>
        </w:rPr>
        <w:t>以下是详细介绍。</w:t>
      </w:r>
    </w:p>
    <w:p w14:paraId="40971D2E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历史背景</w:t>
      </w:r>
      <w:r>
        <w:rPr>
          <w:rFonts w:hint="eastAsia"/>
          <w:color w:val="000000"/>
          <w:sz w:val="22"/>
          <w:szCs w:val="22"/>
          <w:lang w:val="en-US" w:eastAsia="zh-CN"/>
        </w:rPr>
        <w:t>：</w:t>
      </w:r>
    </w:p>
    <w:p w14:paraId="217C79AC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其历史背景源于该地区严重的干旱缺水问题。蟒河流域土地贫瘠，十年九旱，而相邻的沁河水资源相对丰富。为解决工农业用水和人民生活用水困难，在党的领导下，数十万民工自1965年起，历时十余年，凭着一锤一钎，在太行山的悬崖峭壁上开凿出了这条“人工天河”。它不仅是一项伟大的水利工程，更是那个火红年代中国人民战天斗地、改造河山的伟大精神和智慧的象征。</w:t>
      </w:r>
    </w:p>
    <w:p w14:paraId="3885A9C4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建筑特点</w:t>
      </w:r>
      <w:r>
        <w:rPr>
          <w:rFonts w:hint="eastAsia"/>
          <w:color w:val="000000"/>
          <w:sz w:val="22"/>
          <w:szCs w:val="22"/>
          <w:lang w:val="en-US" w:eastAsia="zh-CN"/>
        </w:rPr>
        <w:t>：</w:t>
      </w:r>
    </w:p>
    <w:p w14:paraId="4D479AC9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• 工程宏伟壮观：渠首位于沁河峡谷，渠线蜿蜒于太行山腰，总长近120公里，其中包含大量隧道、渡槽、暗渠等建筑，宛如一条缠绕在山间的巨龙。</w:t>
      </w:r>
    </w:p>
    <w:p w14:paraId="03C4001D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• 设计巧妙科学：全线利用自然地势坡度实现自流灌溉，工程设计与自然环境紧密结合，体现了当时较高的水利工程技术水平。</w:t>
      </w:r>
    </w:p>
    <w:p w14:paraId="128B8B08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• 施工技艺艰苦：在缺乏大型机械的条件下，主要依靠人力完成开山、凿洞、砌石等作业，砌石工艺精湛，许多渠段至今坚固耐用，展现了劳动人民的卓越创造力。</w:t>
      </w:r>
    </w:p>
    <w:p w14:paraId="705EE290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• 标志性构造物：拥有多个如“英雄隧道”、“胜利渡槽”等标志性建筑节点，每一处都凝结着建设者的心血和汗水，成为工程的精神地标。</w:t>
      </w:r>
    </w:p>
    <w:p w14:paraId="14330520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陈列展览</w:t>
      </w:r>
      <w:r>
        <w:rPr>
          <w:rFonts w:hint="eastAsia"/>
          <w:color w:val="000000"/>
          <w:sz w:val="22"/>
          <w:szCs w:val="22"/>
          <w:lang w:val="en-US" w:eastAsia="zh-CN"/>
        </w:rPr>
        <w:t>：</w:t>
      </w:r>
    </w:p>
    <w:p w14:paraId="5F9922F2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展览以“太行丰碑”为主题，通过历史照片、施工工具（如铁锤、钢钎、独轮车）、工程图纸、英雄劳模事迹介绍以及多媒体沙盘等形式，全方位再现当年波澜壮阔的建设场景。展览重点突出“自力更生、艰苦奋斗、团结协作、无私奉献”的修渠精神，并展示该工程至今仍在发挥的巨大经济效益和社会效益。</w:t>
      </w:r>
    </w:p>
    <w:p w14:paraId="0695DED6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荣誉称号</w:t>
      </w:r>
      <w:r>
        <w:rPr>
          <w:rFonts w:hint="eastAsia"/>
          <w:color w:val="000000"/>
          <w:sz w:val="22"/>
          <w:szCs w:val="22"/>
          <w:lang w:val="en-US" w:eastAsia="zh-CN"/>
        </w:rPr>
        <w:t>：</w:t>
      </w:r>
    </w:p>
    <w:p w14:paraId="334E9343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河南省爱国主义教育示范基地、国家水情教育基地、重点文物保护单位（水利遗产）。</w:t>
      </w:r>
    </w:p>
    <w:p w14:paraId="0D544101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</w:p>
    <w:p w14:paraId="519ADAD9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地址</w:t>
      </w:r>
      <w:r>
        <w:rPr>
          <w:rFonts w:hint="eastAsia"/>
          <w:color w:val="000000"/>
          <w:sz w:val="22"/>
          <w:szCs w:val="22"/>
          <w:lang w:val="en-US" w:eastAsia="zh-CN"/>
        </w:rPr>
        <w:t>：</w:t>
      </w: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河南省济源市、焦作市孟州区等沿线区域，渠首位于济源市境内的沁河峡谷。</w:t>
      </w:r>
    </w:p>
    <w:p w14:paraId="64ADE1CA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</w:p>
    <w:p w14:paraId="3098C4D8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特产</w:t>
      </w:r>
      <w:r>
        <w:rPr>
          <w:rFonts w:hint="eastAsia"/>
          <w:color w:val="000000"/>
          <w:sz w:val="22"/>
          <w:szCs w:val="22"/>
          <w:lang w:val="en-US" w:eastAsia="zh-CN"/>
        </w:rPr>
        <w:t>：</w:t>
      </w: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济源冬凌草、马村酥梨、孟州苹果、四大怀药（怀地黄、怀牛膝、怀山药、怀菊花）。</w:t>
      </w:r>
    </w:p>
    <w:p w14:paraId="6FF425B9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</w:p>
    <w:p w14:paraId="3FAFAFDE">
      <w:pP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百年老店小吃</w:t>
      </w:r>
      <w:r>
        <w:rPr>
          <w:rFonts w:hint="eastAsia"/>
          <w:color w:val="000000"/>
          <w:sz w:val="22"/>
          <w:szCs w:val="22"/>
          <w:lang w:val="en-US" w:eastAsia="zh-CN"/>
        </w:rPr>
        <w:t>：</w:t>
      </w:r>
      <w:bookmarkStart w:id="0" w:name="_GoBack"/>
      <w:bookmarkEnd w:id="0"/>
      <w:r>
        <w:rPr>
          <w:rFonts w:hint="default" w:ascii="Calibri" w:hAnsi="Calibri" w:eastAsia="宋体" w:cs="Arial"/>
          <w:color w:val="000000"/>
          <w:sz w:val="22"/>
          <w:szCs w:val="22"/>
          <w:lang w:val="en-US" w:eastAsia="zh-CN"/>
        </w:rPr>
        <w:t>济源鸡蛋不翻、孟州混浆绿豆凉粉、济源土馍、孟州炒面。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24D82"/>
    <w:rsid w:val="5B92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2025-10-18T13:18:00Z</dcterms:created>
  <dc:creator>Mars乄菠萝</dc:creator>
  <cp:lastModifiedBy>Mars乄菠萝</cp:lastModifiedBy>
  <dcterms:modified xsi:type="dcterms:W3CDTF">2025-10-18T13:26:20Z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D05CCE9EE0EB4CB6A6D17C088CA660C6_11</vt:lpwstr>
  </property>
  <property fmtid="{D5CDD505-2E9C-101B-9397-08002B2CF9AE}" pid="4" name="KSOTemplateDocerSaveRecord">
    <vt:lpwstr>eyJoZGlkIjoiOWE3OTAyMDU5Nzk3ZGUxMzdkZWViMGRhZThjZmE3YmQiLCJ1c2VySWQiOiI1MTY1MDMzNzUifQ==</vt:lpwstr>
  </property>
</Properties>
</file>