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C1F219">
      <w:pPr>
        <w:rPr>
          <w:rFonts w:hint="eastAsia"/>
          <w:sz w:val="32"/>
          <w:szCs w:val="32"/>
          <w:lang w:eastAsia="zh-CN"/>
        </w:rPr>
      </w:pPr>
      <w:r>
        <w:rPr>
          <w:sz w:val="32"/>
          <w:szCs w:val="32"/>
        </w:rPr>
        <w:t xml:space="preserve">       </w:t>
      </w:r>
      <w:r>
        <w:rPr>
          <w:rFonts w:hint="eastAsia"/>
          <w:sz w:val="32"/>
          <w:szCs w:val="32"/>
          <w:lang w:eastAsia="zh-CN"/>
        </w:rPr>
        <w:t xml:space="preserve">   晋豫边革命纪念馆（济源市）</w:t>
      </w:r>
    </w:p>
    <w:p w14:paraId="20DAF15E">
      <w:pPr/>
      <w:r>
        <w:drawing>
          <wp:inline distT="0" distB="0" distL="0" distR="0">
            <wp:extent cx="4928870" cy="1856105"/>
            <wp:effectExtent l="0" t="0" r="0" b="0"/>
            <wp:docPr id="1026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1"/>
                    <pic:cNvPicPr/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29101" cy="1856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609E9">
      <w:pPr/>
    </w:p>
    <w:p w14:paraId="37B38AC7">
      <w:pPr/>
    </w:p>
    <w:p w14:paraId="4692E928">
      <w:pPr/>
      <w:r>
        <w:drawing>
          <wp:inline distT="0" distB="0" distL="0" distR="0">
            <wp:extent cx="4963160" cy="3148965"/>
            <wp:effectExtent l="0" t="0" r="0" b="0"/>
            <wp:docPr id="1027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Image1"/>
                    <pic:cNvPicPr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3447" cy="3148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126F1">
      <w:pPr/>
    </w:p>
    <w:p w14:paraId="7B440AA0">
      <w:pPr/>
    </w:p>
    <w:p w14:paraId="627BC126">
      <w:pPr/>
      <w:r>
        <w:drawing>
          <wp:inline distT="0" distB="0" distL="0" distR="0">
            <wp:extent cx="4987290" cy="3172460"/>
            <wp:effectExtent l="0" t="0" r="0" b="0"/>
            <wp:docPr id="1028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Image1"/>
                    <pic:cNvPicPr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7339" cy="3172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26038">
      <w:pPr/>
    </w:p>
    <w:p w14:paraId="68CD3263">
      <w:pPr/>
    </w:p>
    <w:p w14:paraId="6D8EB4BA">
      <w:pPr/>
      <w:r>
        <w:rPr>
          <w:sz w:val="22"/>
          <w:szCs w:val="22"/>
          <w:lang w:val="en-US"/>
        </w:rPr>
        <w:br w:type="page"/>
      </w:r>
      <w:r>
        <w:drawing>
          <wp:inline distT="0" distB="0" distL="0" distR="0">
            <wp:extent cx="4836795" cy="3101340"/>
            <wp:effectExtent l="0" t="0" r="0" b="0"/>
            <wp:docPr id="1029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" name="Image1"/>
                    <pic:cNvPicPr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37113" cy="3101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1A751">
      <w:pPr/>
    </w:p>
    <w:p w14:paraId="5E38D73F">
      <w:pPr/>
      <w:bookmarkStart w:id="0" w:name="_GoBack"/>
      <w:bookmarkEnd w:id="0"/>
    </w:p>
    <w:p w14:paraId="2964469D">
      <w:pPr>
        <w:rPr>
          <w:rFonts w:hint="eastAsia"/>
          <w:color w:val="FF0000"/>
          <w:sz w:val="32"/>
          <w:szCs w:val="32"/>
          <w:lang w:val="en-US" w:eastAsia="zh-CN"/>
        </w:rPr>
      </w:pPr>
      <w:r>
        <w:rPr>
          <w:sz w:val="32"/>
          <w:szCs w:val="32"/>
          <w:lang w:val="en-US"/>
        </w:rPr>
        <w:t xml:space="preserve">                  </w:t>
      </w:r>
      <w:r>
        <w:rPr>
          <w:rFonts w:hint="eastAsia"/>
          <w:color w:val="FF0000"/>
          <w:sz w:val="32"/>
          <w:szCs w:val="32"/>
          <w:lang w:val="en-US" w:eastAsia="zh-CN"/>
        </w:rPr>
        <w:t>讲解：</w:t>
      </w:r>
    </w:p>
    <w:p w14:paraId="43D6EABC">
      <w:pPr>
        <w:rPr>
          <w:rFonts w:hint="eastAsia"/>
          <w:color w:val="000000"/>
          <w:sz w:val="22"/>
          <w:szCs w:val="22"/>
          <w:lang w:val="en-US" w:eastAsia="zh-CN"/>
        </w:rPr>
      </w:pPr>
      <w:r>
        <w:rPr>
          <w:color w:val="000000"/>
          <w:sz w:val="22"/>
          <w:szCs w:val="22"/>
          <w:lang w:val="en-US"/>
        </w:rPr>
        <w:t>河南安阳林州市的一座红色纪念场馆，主要用于展示20世纪30至40年代冀豫边区（含冀南、豫北等地）的革命历史，纪念该区域军民在抗日和解放斗争中的贡献，传承红色精神</w:t>
      </w:r>
      <w:r>
        <w:rPr>
          <w:rFonts w:hint="eastAsia"/>
          <w:color w:val="000000"/>
          <w:sz w:val="22"/>
          <w:szCs w:val="22"/>
          <w:lang w:val="en-US" w:eastAsia="zh-CN"/>
        </w:rPr>
        <w:t>，详细介绍如下。</w:t>
      </w:r>
    </w:p>
    <w:p w14:paraId="4DB14B57">
      <w:pPr>
        <w:rPr>
          <w:rFonts w:hint="eastAsia"/>
          <w:color w:val="000000"/>
          <w:sz w:val="22"/>
          <w:szCs w:val="22"/>
          <w:lang w:val="en-US" w:eastAsia="zh-CN"/>
        </w:rPr>
      </w:pPr>
      <w:r>
        <w:rPr>
          <w:rFonts w:hint="default"/>
          <w:color w:val="000000"/>
          <w:sz w:val="22"/>
          <w:szCs w:val="22"/>
          <w:lang w:val="en-US" w:eastAsia="zh-CN"/>
        </w:rPr>
        <w:t>---</w:t>
      </w:r>
      <w:r>
        <w:rPr>
          <w:rFonts w:hint="eastAsia"/>
          <w:color w:val="000000"/>
          <w:sz w:val="22"/>
          <w:szCs w:val="22"/>
          <w:lang w:val="en-US" w:eastAsia="zh-CN"/>
        </w:rPr>
        <w:t>历史背景：</w:t>
      </w:r>
    </w:p>
    <w:p w14:paraId="1C09FDB4">
      <w:pPr>
        <w:rPr>
          <w:rFonts w:hint="eastAsia"/>
          <w:color w:val="000000"/>
          <w:sz w:val="22"/>
          <w:szCs w:val="22"/>
          <w:lang w:val="en-US" w:eastAsia="zh-CN"/>
        </w:rPr>
      </w:pPr>
      <w:r>
        <w:rPr>
          <w:rFonts w:hint="eastAsia"/>
          <w:color w:val="000000"/>
          <w:sz w:val="22"/>
          <w:szCs w:val="22"/>
          <w:lang w:val="en-US" w:eastAsia="zh-CN"/>
        </w:rPr>
        <w:t>20世纪30-40年代，该边区是华北抗日和解放斗争的重要区域，八路军在此建根据地，领导军民抗日反“扫荡”、支援解放战争。为纪念边区军民的贡献与历程，传承红色精神，建成此纪念馆。</w:t>
      </w:r>
    </w:p>
    <w:p w14:paraId="0FE5029B">
      <w:pPr>
        <w:rPr>
          <w:rFonts w:hint="eastAsia"/>
          <w:color w:val="000000"/>
          <w:sz w:val="22"/>
          <w:szCs w:val="22"/>
          <w:lang w:val="en-US" w:eastAsia="zh-CN"/>
        </w:rPr>
      </w:pPr>
      <w:r>
        <w:rPr>
          <w:rFonts w:hint="default"/>
          <w:color w:val="000000"/>
          <w:sz w:val="22"/>
          <w:szCs w:val="22"/>
          <w:lang w:val="en-US" w:eastAsia="zh-CN"/>
        </w:rPr>
        <w:t>---</w:t>
      </w:r>
      <w:r>
        <w:rPr>
          <w:rFonts w:hint="eastAsia"/>
          <w:color w:val="000000"/>
          <w:sz w:val="22"/>
          <w:szCs w:val="22"/>
          <w:lang w:val="en-US" w:eastAsia="zh-CN"/>
        </w:rPr>
        <w:t>建筑特点：</w:t>
      </w:r>
    </w:p>
    <w:p w14:paraId="022AB426">
      <w:pPr>
        <w:rPr>
          <w:rFonts w:hint="eastAsia"/>
          <w:color w:val="000000"/>
          <w:sz w:val="22"/>
          <w:szCs w:val="22"/>
          <w:lang w:val="en-US" w:eastAsia="zh-CN"/>
        </w:rPr>
      </w:pPr>
      <w:r>
        <w:rPr>
          <w:rFonts w:hint="eastAsia"/>
          <w:color w:val="000000"/>
          <w:sz w:val="22"/>
          <w:szCs w:val="22"/>
          <w:lang w:val="en-US" w:eastAsia="zh-CN"/>
        </w:rPr>
        <w:t>•风格古朴典雅：整体保留了清末民初时期北方民居的典型风格，多为青砖黛瓦的砖木结构建筑，具有浓郁的中原地区建筑文化特色。</w:t>
      </w:r>
    </w:p>
    <w:p w14:paraId="1AAAB245">
      <w:pPr>
        <w:rPr>
          <w:rFonts w:hint="eastAsia"/>
          <w:color w:val="000000"/>
          <w:sz w:val="22"/>
          <w:szCs w:val="22"/>
          <w:lang w:eastAsia="zh-CN"/>
        </w:rPr>
      </w:pPr>
      <w:r>
        <w:rPr>
          <w:rFonts w:hint="eastAsia"/>
          <w:color w:val="000000"/>
          <w:sz w:val="22"/>
          <w:szCs w:val="22"/>
          <w:lang w:eastAsia="zh-CN"/>
        </w:rPr>
        <w:t>•布局规整有序：旧址大多以北方民居四合院为主，是豫北地区规模最大、保存最为完整的清代民居建筑群，建筑布局严谨，体现了传统的对称美学和居住理念。</w:t>
      </w:r>
    </w:p>
    <w:p w14:paraId="3CBD083F">
      <w:pPr>
        <w:rPr>
          <w:rFonts w:hint="eastAsia"/>
          <w:color w:val="000000"/>
          <w:sz w:val="22"/>
          <w:szCs w:val="22"/>
          <w:lang w:eastAsia="zh-CN"/>
        </w:rPr>
      </w:pPr>
      <w:r>
        <w:rPr>
          <w:rFonts w:hint="eastAsia"/>
          <w:color w:val="000000"/>
          <w:sz w:val="22"/>
          <w:szCs w:val="22"/>
          <w:lang w:eastAsia="zh-CN"/>
        </w:rPr>
        <w:t>•新旧建筑融合：除了保留的传统旧址建筑外，还新建了边区抗战史实展馆、游客服务中心等现代建筑，与旧址群相互映衬，形成了“四馆”“一群”“一场”“一中心”的新格局。</w:t>
      </w:r>
    </w:p>
    <w:p w14:paraId="4813CE72">
      <w:pPr>
        <w:rPr>
          <w:rFonts w:hint="eastAsia"/>
          <w:color w:val="000000"/>
          <w:sz w:val="22"/>
          <w:szCs w:val="22"/>
          <w:lang w:val="en-US" w:eastAsia="zh-CN"/>
        </w:rPr>
      </w:pPr>
      <w:r>
        <w:rPr>
          <w:rFonts w:hint="default"/>
          <w:color w:val="000000"/>
          <w:sz w:val="22"/>
          <w:szCs w:val="22"/>
          <w:lang w:val="en-US" w:eastAsia="zh-CN"/>
        </w:rPr>
        <w:t>---</w:t>
      </w:r>
      <w:r>
        <w:rPr>
          <w:rFonts w:hint="eastAsia"/>
          <w:color w:val="000000"/>
          <w:sz w:val="22"/>
          <w:szCs w:val="22"/>
          <w:lang w:val="en-US" w:eastAsia="zh-CN"/>
        </w:rPr>
        <w:t>陈列展览：</w:t>
      </w:r>
    </w:p>
    <w:p w14:paraId="10D93B50">
      <w:pPr>
        <w:rPr>
          <w:rFonts w:hint="eastAsia"/>
          <w:color w:val="000000"/>
          <w:sz w:val="22"/>
          <w:szCs w:val="22"/>
          <w:lang w:val="en-US" w:eastAsia="zh-CN"/>
        </w:rPr>
      </w:pPr>
      <w:r>
        <w:rPr>
          <w:rFonts w:hint="eastAsia"/>
          <w:color w:val="000000"/>
          <w:sz w:val="22"/>
          <w:szCs w:val="22"/>
          <w:lang w:val="en-US" w:eastAsia="zh-CN"/>
        </w:rPr>
        <w:t>陈列以冀豫边区革命历程为核心，通过文物、图片、史料及场景复原等形式，展现边区党组织建立、抗日根据地创建、反“扫荡”斗争、支援解放战争等关键历史，突出军民团结的革命事迹与红色精神传承。</w:t>
      </w:r>
    </w:p>
    <w:p w14:paraId="6E35B03C">
      <w:pPr>
        <w:rPr>
          <w:rFonts w:hint="eastAsia"/>
          <w:color w:val="000000"/>
          <w:sz w:val="22"/>
          <w:szCs w:val="22"/>
          <w:lang w:val="en-US" w:eastAsia="zh-CN"/>
        </w:rPr>
      </w:pPr>
      <w:r>
        <w:rPr>
          <w:rFonts w:hint="default"/>
          <w:color w:val="000000"/>
          <w:sz w:val="22"/>
          <w:szCs w:val="22"/>
          <w:lang w:val="en-US" w:eastAsia="zh-CN"/>
        </w:rPr>
        <w:t>---</w:t>
      </w:r>
      <w:r>
        <w:rPr>
          <w:rFonts w:hint="eastAsia"/>
          <w:color w:val="000000"/>
          <w:sz w:val="22"/>
          <w:szCs w:val="22"/>
          <w:lang w:val="en-US" w:eastAsia="zh-CN"/>
        </w:rPr>
        <w:t>荣誉称号：</w:t>
      </w:r>
    </w:p>
    <w:p w14:paraId="2505D89D">
      <w:pPr>
        <w:rPr>
          <w:rFonts w:hint="eastAsia"/>
          <w:color w:val="000000"/>
          <w:sz w:val="22"/>
          <w:szCs w:val="22"/>
          <w:lang w:val="en-US" w:eastAsia="zh-CN"/>
        </w:rPr>
      </w:pPr>
      <w:r>
        <w:rPr>
          <w:color w:val="000000"/>
          <w:sz w:val="22"/>
          <w:szCs w:val="22"/>
          <w:lang w:val="en-US"/>
        </w:rPr>
        <w:t>河南省国防教育基地</w:t>
      </w:r>
      <w:r>
        <w:rPr>
          <w:rFonts w:hint="eastAsia"/>
          <w:color w:val="000000"/>
          <w:sz w:val="22"/>
          <w:szCs w:val="22"/>
          <w:lang w:val="en-US" w:eastAsia="zh-CN"/>
        </w:rPr>
        <w:t>，</w:t>
      </w:r>
      <w:r>
        <w:rPr>
          <w:color w:val="000000"/>
          <w:sz w:val="22"/>
          <w:szCs w:val="22"/>
          <w:lang w:val="en-US"/>
        </w:rPr>
        <w:t>河南省爱国主义教育示范基地</w:t>
      </w:r>
      <w:r>
        <w:rPr>
          <w:rFonts w:hint="eastAsia"/>
          <w:color w:val="000000"/>
          <w:sz w:val="22"/>
          <w:szCs w:val="22"/>
          <w:lang w:val="en-US" w:eastAsia="zh-CN"/>
        </w:rPr>
        <w:t>，</w:t>
      </w:r>
      <w:r>
        <w:rPr>
          <w:color w:val="000000"/>
          <w:sz w:val="22"/>
          <w:szCs w:val="22"/>
          <w:lang w:val="en-US"/>
        </w:rPr>
        <w:t>河南省中共党史教育基地</w:t>
      </w:r>
      <w:r>
        <w:rPr>
          <w:rFonts w:hint="eastAsia"/>
          <w:color w:val="000000"/>
          <w:sz w:val="22"/>
          <w:szCs w:val="22"/>
          <w:lang w:val="en-US" w:eastAsia="zh-CN"/>
        </w:rPr>
        <w:t>，</w:t>
      </w:r>
      <w:r>
        <w:rPr>
          <w:color w:val="000000"/>
          <w:sz w:val="22"/>
          <w:szCs w:val="22"/>
          <w:lang w:val="en-US"/>
        </w:rPr>
        <w:t>河南省关心下一代党史国史教育基</w:t>
      </w:r>
      <w:r>
        <w:rPr>
          <w:rFonts w:hint="eastAsia"/>
          <w:color w:val="000000"/>
          <w:sz w:val="22"/>
          <w:szCs w:val="22"/>
          <w:lang w:val="en-US" w:eastAsia="zh-CN"/>
        </w:rPr>
        <w:t>地，</w:t>
      </w:r>
      <w:r>
        <w:rPr>
          <w:color w:val="000000"/>
          <w:sz w:val="22"/>
          <w:szCs w:val="22"/>
          <w:lang w:val="en-US"/>
        </w:rPr>
        <w:t>河南省主题党日活动基</w:t>
      </w:r>
      <w:r>
        <w:rPr>
          <w:rFonts w:hint="eastAsia"/>
          <w:color w:val="000000"/>
          <w:sz w:val="22"/>
          <w:szCs w:val="22"/>
          <w:lang w:val="en-US" w:eastAsia="zh-CN"/>
        </w:rPr>
        <w:t>地</w:t>
      </w:r>
    </w:p>
    <w:p w14:paraId="7473CCEB">
      <w:pPr>
        <w:rPr>
          <w:color w:val="000000"/>
          <w:sz w:val="22"/>
          <w:szCs w:val="22"/>
        </w:rPr>
      </w:pPr>
    </w:p>
    <w:p w14:paraId="51CFAC44">
      <w:pPr>
        <w:rPr>
          <w:rFonts w:hint="eastAsia"/>
          <w:color w:val="000000"/>
          <w:sz w:val="22"/>
          <w:szCs w:val="22"/>
          <w:lang w:eastAsia="zh-CN"/>
        </w:rPr>
      </w:pPr>
      <w:r>
        <w:rPr>
          <w:rFonts w:hint="eastAsia"/>
          <w:color w:val="000000"/>
          <w:sz w:val="22"/>
          <w:szCs w:val="22"/>
          <w:lang w:eastAsia="zh-CN"/>
        </w:rPr>
        <w:t>地址：位于济源市邵原镇北寨村。</w:t>
      </w:r>
    </w:p>
    <w:p w14:paraId="6FEBFB12">
      <w:pPr>
        <w:rPr>
          <w:color w:val="000000"/>
          <w:sz w:val="22"/>
          <w:szCs w:val="22"/>
        </w:rPr>
      </w:pPr>
    </w:p>
    <w:p w14:paraId="6A3EAB1B">
      <w:pPr>
        <w:rPr>
          <w:rFonts w:hint="eastAsia"/>
          <w:color w:val="000000"/>
          <w:sz w:val="22"/>
          <w:szCs w:val="22"/>
          <w:lang w:eastAsia="zh-CN"/>
        </w:rPr>
      </w:pPr>
      <w:r>
        <w:rPr>
          <w:rFonts w:hint="eastAsia"/>
          <w:color w:val="000000"/>
          <w:sz w:val="22"/>
          <w:szCs w:val="22"/>
          <w:lang w:eastAsia="zh-CN"/>
        </w:rPr>
        <w:t>特产：鸡蛋不翻儿、济源土馍、济源玉皇李、济源山楂、北寨红杏、邵原脆桃、寺郎腰大葱、济源盘砚、天坛石砚、济源冬凌草等。</w:t>
      </w:r>
    </w:p>
    <w:p w14:paraId="1900F879">
      <w:pPr>
        <w:rPr>
          <w:color w:val="000000"/>
          <w:sz w:val="22"/>
          <w:szCs w:val="22"/>
        </w:rPr>
      </w:pPr>
    </w:p>
    <w:p w14:paraId="0C8FD6F0">
      <w:pPr>
        <w:rPr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  <w:lang w:eastAsia="zh-CN"/>
        </w:rPr>
        <w:t>百年老店小吃：拜记压板肉，锅盔芽，翟永成烧鸡，老李家锅盔牙子，西关米皮老店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Arial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uiPriority w:val="1"/>
  </w:style>
  <w:style w:type="table" w:default="1" w:styleId="3">
    <w:name w:val="Normal Table"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0</Pages>
  <Words>683</Words>
  <Characters>699</Characters>
  <Lines>0</Lines>
  <Paragraphs>23</Paragraphs>
  <ScaleCrop>false</ScaleCrop>
  <LinksUpToDate>false</LinksUpToDate>
  <CharactersWithSpaces>727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2025-10-18T15:47:16Z</dcterms:created>
  <dc:creator>2410CRP4CC</dc:creator>
  <cp:lastModifiedBy>iPhone</cp:lastModifiedBy>
  <dcterms:modified xsi:type="dcterms:W3CDTF">2025-10-18T16:12:28Z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db71f3fa8db845c4a7161a16f0abfdd6_23</vt:lpwstr>
  </property>
  <property fmtid="{D5CDD505-2E9C-101B-9397-08002B2CF9AE}" pid="3" name="KSOProductBuildVer">
    <vt:lpwstr>2052-12.27.0</vt:lpwstr>
  </property>
</Properties>
</file>