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imes New Roman" w:hAnsi="Times New Roman" w:eastAsia="黑体"/>
          <w:b/>
          <w:sz w:val="36"/>
        </w:rPr>
        <w:t>AI 工具使用详情说明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2026 年 MathorCup 数学应用挑战赛——大数据竞赛 · 赛道 A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作品：基于数据核验、共变网络与约束生成的啤酒感官评分与风味指纹研究</w:t>
      </w:r>
    </w:p>
    <w:p>
      <w:pPr>
        <w:keepNext/>
        <w:spacing w:before="200" w:after="60"/>
      </w:pPr>
      <w:r>
        <w:rPr>
          <w:rFonts w:ascii="Times New Roman" w:hAnsi="Times New Roman" w:eastAsia="黑体"/>
          <w:b/>
          <w:sz w:val="26"/>
        </w:rPr>
        <w:t>一、所用 AI 工具名称与版本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工具名称</w:t>
            </w:r>
          </w:p>
        </w:tc>
        <w:tc>
          <w:tcPr>
            <w:tcW w:type="dxa" w:w="17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版本 / 型号</w:t>
            </w:r>
          </w:p>
        </w:tc>
        <w:tc>
          <w:tcPr>
            <w:tcW w:type="dxa" w:w="17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开发机构</w:t>
            </w:r>
          </w:p>
        </w:tc>
        <w:tc>
          <w:tcPr>
            <w:tcW w:type="dxa" w:w="17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使用日期</w:t>
            </w:r>
          </w:p>
        </w:tc>
        <w:tc>
          <w:tcPr>
            <w:tcW w:type="dxa" w:w="17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使用方式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DeepSeek</w:t>
            </w:r>
          </w:p>
        </w:tc>
        <w:tc>
          <w:tcPr>
            <w:tcW w:type="dxa" w:w="17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DeepSeek-V3.2</w:t>
            </w:r>
          </w:p>
        </w:tc>
        <w:tc>
          <w:tcPr>
            <w:tcW w:type="dxa" w:w="17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深度求索（DeepSeek）</w:t>
            </w:r>
          </w:p>
        </w:tc>
        <w:tc>
          <w:tcPr>
            <w:tcW w:type="dxa" w:w="17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2026-10-26</w:t>
            </w:r>
          </w:p>
        </w:tc>
        <w:tc>
          <w:tcPr>
            <w:tcW w:type="dxa" w:w="179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对话式辅助（网页/客户端）</w:t>
            </w:r>
          </w:p>
        </w:tc>
      </w:tr>
    </w:tbl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说明：除上述工具外，参赛队未使用其他生成式 AI 工具；数据分析、绘图与排版使用 Python（NumPy、pandas、scikit-learn、NetworkX、Matplotlib、python-docx）与 LibreOffice 等常规软件，这些软件不属于 AI 生成工具。</w:t>
      </w:r>
    </w:p>
    <w:p>
      <w:pPr>
        <w:keepNext/>
        <w:spacing w:before="200" w:after="60"/>
      </w:pPr>
      <w:r>
        <w:rPr>
          <w:rFonts w:ascii="Times New Roman" w:hAnsi="Times New Roman" w:eastAsia="黑体"/>
          <w:b/>
          <w:sz w:val="26"/>
        </w:rPr>
        <w:t>二、使用目的与应用环节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AI 工具在本作品中只作为辅助手段，具体用于以下两个环节：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1. 部分论文段落的文字组织与润色。在参赛队已经完成建模、计算并确定每个数值之后，把其中一部分段落的要点交给 DeepSeek，请它协助整理为更通顺、更符合论文语体的表达。涉及的内容包括问题背景的科普性表述、部分方法段落的过渡句、以及结论部分的归纳措辞。所有数值、公式、结论与判断均由参赛队核对后确定；AI 没有参与结果的计算与解释。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2. 代码调试与文档整理。使用 AI 辅助检查绘图脚本与论文排版脚本中的语法错误、字体设置问题，并协助整理支撑材料的目录说明。核心算法（缺失填补、嵌套交叉验证、共形预测、共变网络、Borda 聚合、条件 copula 生成、结构约束生成、跨风格迁移的约束优化等）由参赛队独立设计、实现与调试。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3. 未使用 AI 的环节：原始数据核验、缺失与标度判断、模型选择与交叉验证、结果计算、图表生成、结论提炼、参考文献筛选与正文定稿，均由参赛队独立完成。</w:t>
      </w:r>
    </w:p>
    <w:p>
      <w:pPr>
        <w:keepNext/>
        <w:spacing w:before="200" w:after="60"/>
      </w:pPr>
      <w:r>
        <w:rPr>
          <w:rFonts w:ascii="Times New Roman" w:hAnsi="Times New Roman" w:eastAsia="黑体"/>
          <w:b/>
          <w:sz w:val="26"/>
        </w:rPr>
        <w:t>三、关键交互记录（摘要）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（1）提示词示例：“下面这段文字是我对问题 1 技术路线的说明，请在不改变任何数值和结论的前提下，把它改写成更通顺的论文语言：……（附参赛队原始段落）”。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回复摘要：DeepSeek 给出了 2–3 个改写版本与若干连接词建议。参赛队采纳了其中一段关于“两段式任务拆分”的措辞，并自行补充了“不冒充原始标签”的限定语。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（2）提示词示例：“这段 Python 绘图代码在导出的 PDF 里中文字体变成方框，请指出可能的原因和最小修改方案：……”。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回复摘要：DeepSeek 建议显式设置 matplotlib 的 font.sans-serif 与 axes.unicode_minus。参赛队据此修改并实际重新出图确认。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（3）提示词示例：“请检查这段论文目录生成脚本为什么页码与正文对不上：……”。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回复摘要：DeepSeek 指出目录页码需要由“正文起始物理页”计算偏移量，并建议在 PDF 渲染后回填。参赛队据此实现了“先渲染、再提取标题页码、再重建文档”的流程，并经过两轮渲染核对页码一致。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（4）提示词示例：“帮我把下面这段结论压缩到 120 字以内，保留全部关键数字：……”。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回复摘要：DeepSeek 给出了压缩版本；参赛队核对了数字，并自行改写了其中一处因果表述，避免把关联写成因果。</w:t>
      </w:r>
    </w:p>
    <w:p>
      <w:pPr>
        <w:keepNext/>
        <w:spacing w:before="200" w:after="60"/>
      </w:pPr>
      <w:r>
        <w:rPr>
          <w:rFonts w:ascii="Times New Roman" w:hAnsi="Times New Roman" w:eastAsia="黑体"/>
          <w:b/>
          <w:sz w:val="26"/>
        </w:rPr>
        <w:t>四、采纳内容与人工修改情况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1. 文字层面：AI 建议的措辞被部分采纳，主要涉及段落衔接、同义表达与语序调整；参赛队对每一处采纳内容都做了人工修改，包括统一术语（如“共变网络”“工作等级”“协议 A/B”）、补充限定条件、删除过度断言，并逐句核对数值与图表编号。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2. 代码层面：AI 指出的字体设置与目录页码问题被采纳；参赛队在实际环境中运行验证后才写入最终脚本，没有直接使用未经运行验证的代码。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3. 内容层面：AI 未参与数据核验结论、模型选择、参数设定、结果计算与解释。论文中所有数值均可在支撑材料的结果文件中找到对应项，所有图表均由参赛队脚本从数据重新生成。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4. 未采纳内容：AI 曾建议使用更复杂的生成模型（如直接训练 CVAE），参赛队评估后认为每类样本只有 3–28 个，容易过拟合且不可解释，因此未采纳，并在论文 5.2 节说明了原因；AI 曾建议把“不可识别”的讨论简化，参赛队认为这是本题的重要结论，予以保留并加强。</w:t>
      </w:r>
    </w:p>
    <w:p>
      <w:pPr>
        <w:keepNext/>
        <w:spacing w:before="200" w:after="60"/>
      </w:pPr>
      <w:r>
        <w:rPr>
          <w:rFonts w:ascii="Times New Roman" w:hAnsi="Times New Roman" w:eastAsia="黑体"/>
          <w:b/>
          <w:sz w:val="26"/>
        </w:rPr>
        <w:t>五、责任声明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参赛队对论文的全部内容负责，包括使用 AI 工具辅助生成或修改的部分。参赛队已逐项核验 AI 参与内容的正确性、数值一致性与学术规范性；如仍有错误，责任由参赛队承担。</w:t>
      </w:r>
    </w:p>
    <w:p>
      <w:pPr>
        <w:spacing w:after="40"/>
        <w:ind w:firstLine="440"/>
        <w:jc w:val="both"/>
      </w:pPr>
      <w:r>
        <w:rPr>
          <w:rFonts w:ascii="Times New Roman" w:hAnsi="Times New Roman" w:eastAsia="宋体"/>
          <w:b w:val="0"/>
          <w:sz w:val="22"/>
        </w:rPr>
        <w:t>本说明与论文正文末尾的“AI 工具使用声明”一致，并作为支撑材料提交。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