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/>
        <w:jc w:val="center"/>
      </w:pPr>
      <w:r>
        <w:rPr>
          <w:rFonts w:ascii="Times New Roman" w:hAnsi="Times New Roman" w:eastAsia="黑体"/>
          <w:b/>
          <w:sz w:val="24"/>
        </w:rPr>
        <w:t>2026 年第七届 MathorCup 数学应用挑战赛——大数据竞赛</w:t>
      </w:r>
    </w:p>
    <w:p>
      <w:pPr>
        <w:jc w:val="center"/>
      </w:pPr>
      <w:r>
        <w:rPr>
          <w:rFonts w:ascii="Times New Roman" w:hAnsi="Times New Roman" w:eastAsia="黑体"/>
          <w:b/>
          <w:sz w:val="24"/>
        </w:rPr>
        <w:t>赛道 A：啤酒酿造化合物分析与啤酒风味预测</w:t>
      </w:r>
    </w:p>
    <w:p>
      <w:pPr>
        <w:spacing w:before="280" w:after="200"/>
        <w:jc w:val="center"/>
      </w:pPr>
      <w:r>
        <w:rPr>
          <w:rFonts w:ascii="Times New Roman" w:hAnsi="Times New Roman" w:eastAsia="黑体"/>
          <w:b/>
          <w:sz w:val="36"/>
        </w:rPr>
        <w:t>基于共表达网络、多模型集成与风格条件生成的</w:t>
        <w:br/>
        <w:t>啤酒感官评分与风味指纹研究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队伍编号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MCB26XXXXX（请按报名号填写）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赛道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</w:t>
            </w:r>
          </w:p>
        </w:tc>
      </w:tr>
    </w:tbl>
    <w:p>
      <w:pPr>
        <w:spacing w:after="80"/>
      </w:pPr>
    </w:p>
    <w:p>
      <w:pPr>
        <w:spacing w:before="80"/>
        <w:jc w:val="center"/>
      </w:pPr>
      <w:r>
        <w:rPr>
          <w:rFonts w:ascii="Times New Roman" w:hAnsi="Times New Roman" w:eastAsia="黑体"/>
          <w:b/>
          <w:sz w:val="28"/>
        </w:rPr>
        <w:t>摘  要</w:t>
      </w:r>
    </w:p>
    <w:p>
      <w:pPr>
        <w:spacing w:before="0" w:after="60" w:line="276" w:lineRule="auto"/>
        <w:ind w:firstLine="400"/>
      </w:pPr>
      <w:r>
        <w:rPr>
          <w:rFonts w:ascii="Times New Roman" w:hAnsi="Times New Roman" w:eastAsia="宋体"/>
          <w:b w:val="0"/>
          <w:sz w:val="20"/>
        </w:rPr>
        <w:t>啤酒风味由数百种化合物共同决定，其化学组成与感官感知呈高度非线性、多尺度耦合关系。本文以赛题提供的 250 款商用比利时啤酒的 231 项化学特征与 50 个感官维度为对象，构建了"数据核验—感官评分—关联解释—风格生成"的完整分析框架。首先系统核验附件结构：借助 8.xlsx 校准数据严格判定 1.csv 的 37 个参数列为 log10 变换值（pH、乙醇、色度等看似原始量纲的列亦然）；证明 2.csv 为 Spearman 相关矩阵（与重算结果 r=0.9999，Pearson 假设下仅 0.82）；确认 4.csv 为逐品评员 z 化后的连续感官值。针对问题 1，提出"秩-高斯变换 + 多模型集成 + 等距等级潜变量反演"方法：KNN 填补 73 个缺失单元格后，极端随机树在 3 次重复 5 折（按风格分层）交叉验证下取得平均 R²=0.242，50 个维度全部为正，酸度 R² 达 0.70；30%% 特征缺失时 R² 仅由 0.241 降至 0.222；推导并仿真验证了 z 化标签的线性潜变量反演模型（完全一致率 86.2%%、±1 级以内 99.7%%），最终输出 250×50 的 0–6 评分矩阵并按 3.xlsx 格式填制评分表。针对问题 2，基于 2.csv 构建 218 节点、591 条边、模块度 0.649 的共表达图，识别出酵母酯类、酒花萜烯、美拉德呋喃/吡嗪等化学语义清晰的模块；以单变量相关、多任务 Lasso、极端随机树、图上 PageRank、模块特征基因五种方法加权 Borda 聚合给出各维度 Top-3，100 次 bootstrap 下 Top-3 平均入选频率 0.500、方法间 Jaccard 系数 0.337；Top-10 标志化合物命中率 52%%、来源一致性 72%%，仅用 Top-3 即保留 87.2%% 的预测信息。针对问题 3，构建可逆对数-标准化特征空间，比较条件 PPCA 与条件变分自编码器，CVAE 在风格保真度（0.90/0.94/0.99）、感官画像相关（0.88/0.96/0.99）与 MMD 上全面占优；生成 Tripel/Kriek/Lambic 化合物谱并正确复现"高酒精高酯香"与"高酸低苦"的风味指纹；进一步提出"潜在空间风格平移 + 缺陷约束投影"，使 Pils/Lager→Tripel 迁移的风格判别概率由 0 升至 0.48、感官画像相关由 −0.14 升至 0.81，且 DMS/4VG/双乙酰/反-2-壬烯醛四项缺陷逐样本不恶化率达 100%%。本文方法兼顾可解释性与生成质量，可为啤酒风味数字化设计与缺陷控制提供参考。</w:t>
      </w:r>
    </w:p>
    <w:p>
      <w:pPr>
        <w:spacing w:before="120"/>
      </w:pPr>
      <w:r>
        <w:rPr>
          <w:rFonts w:ascii="Times New Roman" w:hAnsi="Times New Roman" w:eastAsia="黑体"/>
          <w:b/>
          <w:sz w:val="21"/>
        </w:rPr>
        <w:t>关键词：</w:t>
      </w:r>
      <w:r>
        <w:rPr>
          <w:rFonts w:ascii="Times New Roman" w:hAnsi="Times New Roman" w:eastAsia="宋体"/>
          <w:b w:val="0"/>
          <w:sz w:val="21"/>
        </w:rPr>
        <w:t>啤酒风味；感官评分；秩-高斯变换；共表达网络；稳定性选择；条件变分自编码器；跨风格迁移</w:t>
      </w:r>
    </w:p>
    <w:p>
      <w:pPr>
        <w:sectPr>
          <w:footerReference w:type="default" r:id="rId9"/>
          <w:pgSz w:w="11906" w:h="16838"/>
          <w:pgMar w:top="1417" w:right="1474" w:bottom="1304" w:left="1474" w:header="720" w:footer="720" w:gutter="0"/>
          <w:cols w:space="720"/>
          <w:docGrid w:linePitch="360"/>
        </w:sectPr>
      </w:pPr>
    </w:p>
    <w:p>
      <w:pPr>
        <w:spacing w:before="0" w:after="240"/>
        <w:jc w:val="center"/>
      </w:pPr>
      <w:r>
        <w:rPr>
          <w:rFonts w:ascii="Times New Roman" w:hAnsi="Times New Roman" w:eastAsia="黑体"/>
          <w:b/>
          <w:sz w:val="32"/>
        </w:rPr>
        <w:t>目  录</w:t>
      </w:r>
    </w:p>
    <w:p>
      <w:pPr>
        <w:tabs>
          <w:tab w:pos="8844" w:val="right" w:leader="dot"/>
        </w:tabs>
        <w:spacing w:before="0" w:after="0" w:line="252" w:lineRule="auto"/>
        <w:ind w:left="0"/>
      </w:pPr>
      <w:r>
        <w:rPr>
          <w:rFonts w:ascii="Times New Roman" w:hAnsi="Times New Roman" w:eastAsia="黑体"/>
          <w:b/>
          <w:sz w:val="20"/>
        </w:rPr>
        <w:t>一、问题重述与分析</w:t>
      </w:r>
      <w:r>
        <w:rPr>
          <w:rFonts w:ascii="Times New Roman" w:hAnsi="Times New Roman" w:eastAsia="宋体"/>
          <w:b/>
          <w:sz w:val="20"/>
        </w:rPr>
        <w:tab/>
        <w:t>1</w:t>
      </w:r>
    </w:p>
    <w:p>
      <w:pPr>
        <w:tabs>
          <w:tab w:pos="8844" w:val="right" w:leader="dot"/>
        </w:tabs>
        <w:spacing w:before="0" w:after="0" w:line="252" w:lineRule="auto"/>
        <w:ind w:left="425"/>
      </w:pPr>
      <w:r>
        <w:rPr>
          <w:rFonts w:ascii="Times New Roman" w:hAnsi="Times New Roman" w:eastAsia="宋体"/>
          <w:b w:val="0"/>
          <w:sz w:val="20"/>
        </w:rPr>
        <w:t>1.1 问题背景</w:t>
      </w:r>
      <w:r>
        <w:rPr>
          <w:rFonts w:ascii="Times New Roman" w:hAnsi="Times New Roman" w:eastAsia="宋体"/>
          <w:b w:val="0"/>
          <w:sz w:val="20"/>
        </w:rPr>
        <w:tab/>
        <w:t>1</w:t>
      </w:r>
    </w:p>
    <w:p>
      <w:pPr>
        <w:tabs>
          <w:tab w:pos="8844" w:val="right" w:leader="dot"/>
        </w:tabs>
        <w:spacing w:before="0" w:after="0" w:line="252" w:lineRule="auto"/>
        <w:ind w:left="425"/>
      </w:pPr>
      <w:r>
        <w:rPr>
          <w:rFonts w:ascii="Times New Roman" w:hAnsi="Times New Roman" w:eastAsia="宋体"/>
          <w:b w:val="0"/>
          <w:sz w:val="20"/>
        </w:rPr>
        <w:t>1.2 数据说明</w:t>
      </w:r>
      <w:r>
        <w:rPr>
          <w:rFonts w:ascii="Times New Roman" w:hAnsi="Times New Roman" w:eastAsia="宋体"/>
          <w:b w:val="0"/>
          <w:sz w:val="20"/>
        </w:rPr>
        <w:tab/>
        <w:t>1</w:t>
      </w:r>
    </w:p>
    <w:p>
      <w:pPr>
        <w:tabs>
          <w:tab w:pos="8844" w:val="right" w:leader="dot"/>
        </w:tabs>
        <w:spacing w:before="0" w:after="0" w:line="252" w:lineRule="auto"/>
        <w:ind w:left="425"/>
      </w:pPr>
      <w:r>
        <w:rPr>
          <w:rFonts w:ascii="Times New Roman" w:hAnsi="Times New Roman" w:eastAsia="宋体"/>
          <w:b w:val="0"/>
          <w:sz w:val="20"/>
        </w:rPr>
        <w:t>1.3 三个任务的建模思路</w:t>
      </w:r>
      <w:r>
        <w:rPr>
          <w:rFonts w:ascii="Times New Roman" w:hAnsi="Times New Roman" w:eastAsia="宋体"/>
          <w:b w:val="0"/>
          <w:sz w:val="20"/>
        </w:rPr>
        <w:tab/>
        <w:t>2</w:t>
      </w:r>
    </w:p>
    <w:p>
      <w:pPr>
        <w:tabs>
          <w:tab w:pos="8844" w:val="right" w:leader="dot"/>
        </w:tabs>
        <w:spacing w:before="0" w:after="0" w:line="252" w:lineRule="auto"/>
        <w:ind w:left="0"/>
      </w:pPr>
      <w:r>
        <w:rPr>
          <w:rFonts w:ascii="Times New Roman" w:hAnsi="Times New Roman" w:eastAsia="黑体"/>
          <w:b/>
          <w:sz w:val="20"/>
        </w:rPr>
        <w:t>二、数据核验与预处理</w:t>
      </w:r>
      <w:r>
        <w:rPr>
          <w:rFonts w:ascii="Times New Roman" w:hAnsi="Times New Roman" w:eastAsia="宋体"/>
          <w:b/>
          <w:sz w:val="20"/>
        </w:rPr>
        <w:tab/>
        <w:t>2</w:t>
      </w:r>
    </w:p>
    <w:p>
      <w:pPr>
        <w:tabs>
          <w:tab w:pos="8844" w:val="right" w:leader="dot"/>
        </w:tabs>
        <w:spacing w:before="0" w:after="0" w:line="252" w:lineRule="auto"/>
        <w:ind w:left="425"/>
      </w:pPr>
      <w:r>
        <w:rPr>
          <w:rFonts w:ascii="Times New Roman" w:hAnsi="Times New Roman" w:eastAsia="宋体"/>
          <w:b w:val="0"/>
          <w:sz w:val="20"/>
        </w:rPr>
        <w:t>2.1 数据完整性与一致性核验</w:t>
      </w:r>
      <w:r>
        <w:rPr>
          <w:rFonts w:ascii="Times New Roman" w:hAnsi="Times New Roman" w:eastAsia="宋体"/>
          <w:b w:val="0"/>
          <w:sz w:val="20"/>
        </w:rPr>
        <w:tab/>
        <w:t>2</w:t>
      </w:r>
    </w:p>
    <w:p>
      <w:pPr>
        <w:tabs>
          <w:tab w:pos="8844" w:val="right" w:leader="dot"/>
        </w:tabs>
        <w:spacing w:before="0" w:after="0" w:line="252" w:lineRule="auto"/>
        <w:ind w:left="425"/>
      </w:pPr>
      <w:r>
        <w:rPr>
          <w:rFonts w:ascii="Times New Roman" w:hAnsi="Times New Roman" w:eastAsia="宋体"/>
          <w:b w:val="0"/>
          <w:sz w:val="20"/>
        </w:rPr>
        <w:t>2.2 变换底数与量纲核验</w:t>
      </w:r>
      <w:r>
        <w:rPr>
          <w:rFonts w:ascii="Times New Roman" w:hAnsi="Times New Roman" w:eastAsia="宋体"/>
          <w:b w:val="0"/>
          <w:sz w:val="20"/>
        </w:rPr>
        <w:tab/>
        <w:t>3</w:t>
      </w:r>
    </w:p>
    <w:p>
      <w:pPr>
        <w:tabs>
          <w:tab w:pos="8844" w:val="right" w:leader="dot"/>
        </w:tabs>
        <w:spacing w:before="0" w:after="0" w:line="252" w:lineRule="auto"/>
        <w:ind w:left="425"/>
      </w:pPr>
      <w:r>
        <w:rPr>
          <w:rFonts w:ascii="Times New Roman" w:hAnsi="Times New Roman" w:eastAsia="宋体"/>
          <w:b w:val="0"/>
          <w:sz w:val="20"/>
        </w:rPr>
        <w:t>2.3 缺失值与异常值处理</w:t>
      </w:r>
      <w:r>
        <w:rPr>
          <w:rFonts w:ascii="Times New Roman" w:hAnsi="Times New Roman" w:eastAsia="宋体"/>
          <w:b w:val="0"/>
          <w:sz w:val="20"/>
        </w:rPr>
        <w:tab/>
        <w:t>3</w:t>
      </w:r>
    </w:p>
    <w:p>
      <w:pPr>
        <w:tabs>
          <w:tab w:pos="8844" w:val="right" w:leader="dot"/>
        </w:tabs>
        <w:spacing w:before="0" w:after="0" w:line="252" w:lineRule="auto"/>
        <w:ind w:left="425"/>
      </w:pPr>
      <w:r>
        <w:rPr>
          <w:rFonts w:ascii="Times New Roman" w:hAnsi="Times New Roman" w:eastAsia="宋体"/>
          <w:b w:val="0"/>
          <w:sz w:val="20"/>
        </w:rPr>
        <w:t>2.4 感官标签的 z 化性质与 0–6 等级反演</w:t>
      </w:r>
      <w:r>
        <w:rPr>
          <w:rFonts w:ascii="Times New Roman" w:hAnsi="Times New Roman" w:eastAsia="宋体"/>
          <w:b w:val="0"/>
          <w:sz w:val="20"/>
        </w:rPr>
        <w:tab/>
        <w:t>3</w:t>
      </w:r>
    </w:p>
    <w:p>
      <w:pPr>
        <w:tabs>
          <w:tab w:pos="8844" w:val="right" w:leader="dot"/>
        </w:tabs>
        <w:spacing w:before="0" w:after="0" w:line="252" w:lineRule="auto"/>
        <w:ind w:left="425"/>
      </w:pPr>
      <w:r>
        <w:rPr>
          <w:rFonts w:ascii="Times New Roman" w:hAnsi="Times New Roman" w:eastAsia="宋体"/>
          <w:b w:val="0"/>
          <w:sz w:val="20"/>
        </w:rPr>
        <w:t>2.5 特征变换与建模空间</w:t>
      </w:r>
      <w:r>
        <w:rPr>
          <w:rFonts w:ascii="Times New Roman" w:hAnsi="Times New Roman" w:eastAsia="宋体"/>
          <w:b w:val="0"/>
          <w:sz w:val="20"/>
        </w:rPr>
        <w:tab/>
        <w:t>4</w:t>
      </w:r>
    </w:p>
    <w:p>
      <w:pPr>
        <w:tabs>
          <w:tab w:pos="8844" w:val="right" w:leader="dot"/>
        </w:tabs>
        <w:spacing w:before="0" w:after="0" w:line="252" w:lineRule="auto"/>
        <w:ind w:left="0"/>
      </w:pPr>
      <w:r>
        <w:rPr>
          <w:rFonts w:ascii="Times New Roman" w:hAnsi="Times New Roman" w:eastAsia="黑体"/>
          <w:b/>
          <w:sz w:val="20"/>
        </w:rPr>
        <w:t>三、问题 1：数据缺失条件下的感官评分</w:t>
      </w:r>
      <w:r>
        <w:rPr>
          <w:rFonts w:ascii="Times New Roman" w:hAnsi="Times New Roman" w:eastAsia="宋体"/>
          <w:b/>
          <w:sz w:val="20"/>
        </w:rPr>
        <w:tab/>
        <w:t>5</w:t>
      </w:r>
    </w:p>
    <w:p>
      <w:pPr>
        <w:tabs>
          <w:tab w:pos="8844" w:val="right" w:leader="dot"/>
        </w:tabs>
        <w:spacing w:before="0" w:after="0" w:line="252" w:lineRule="auto"/>
        <w:ind w:left="425"/>
      </w:pPr>
      <w:r>
        <w:rPr>
          <w:rFonts w:ascii="Times New Roman" w:hAnsi="Times New Roman" w:eastAsia="宋体"/>
          <w:b w:val="0"/>
          <w:sz w:val="20"/>
        </w:rPr>
        <w:t>3.1 建模框架</w:t>
      </w:r>
      <w:r>
        <w:rPr>
          <w:rFonts w:ascii="Times New Roman" w:hAnsi="Times New Roman" w:eastAsia="宋体"/>
          <w:b w:val="0"/>
          <w:sz w:val="20"/>
        </w:rPr>
        <w:tab/>
        <w:t>5</w:t>
      </w:r>
    </w:p>
    <w:p>
      <w:pPr>
        <w:tabs>
          <w:tab w:pos="8844" w:val="right" w:leader="dot"/>
        </w:tabs>
        <w:spacing w:before="0" w:after="0" w:line="252" w:lineRule="auto"/>
        <w:ind w:left="425"/>
      </w:pPr>
      <w:r>
        <w:rPr>
          <w:rFonts w:ascii="Times New Roman" w:hAnsi="Times New Roman" w:eastAsia="宋体"/>
          <w:b w:val="0"/>
          <w:sz w:val="20"/>
        </w:rPr>
        <w:t>3.2 模型比较与交叉验证</w:t>
      </w:r>
      <w:r>
        <w:rPr>
          <w:rFonts w:ascii="Times New Roman" w:hAnsi="Times New Roman" w:eastAsia="宋体"/>
          <w:b w:val="0"/>
          <w:sz w:val="20"/>
        </w:rPr>
        <w:tab/>
        <w:t>5</w:t>
      </w:r>
    </w:p>
    <w:p>
      <w:pPr>
        <w:tabs>
          <w:tab w:pos="8844" w:val="right" w:leader="dot"/>
        </w:tabs>
        <w:spacing w:before="0" w:after="0" w:line="252" w:lineRule="auto"/>
        <w:ind w:left="425"/>
      </w:pPr>
      <w:r>
        <w:rPr>
          <w:rFonts w:ascii="Times New Roman" w:hAnsi="Times New Roman" w:eastAsia="宋体"/>
          <w:b w:val="0"/>
          <w:sz w:val="20"/>
        </w:rPr>
        <w:t>3.3 缺失鲁棒性分析</w:t>
      </w:r>
      <w:r>
        <w:rPr>
          <w:rFonts w:ascii="Times New Roman" w:hAnsi="Times New Roman" w:eastAsia="宋体"/>
          <w:b w:val="0"/>
          <w:sz w:val="20"/>
        </w:rPr>
        <w:tab/>
        <w:t>7</w:t>
      </w:r>
    </w:p>
    <w:p>
      <w:pPr>
        <w:tabs>
          <w:tab w:pos="8844" w:val="right" w:leader="dot"/>
        </w:tabs>
        <w:spacing w:before="0" w:after="0" w:line="252" w:lineRule="auto"/>
        <w:ind w:left="425"/>
      </w:pPr>
      <w:r>
        <w:rPr>
          <w:rFonts w:ascii="Times New Roman" w:hAnsi="Times New Roman" w:eastAsia="宋体"/>
          <w:b w:val="0"/>
          <w:sz w:val="20"/>
        </w:rPr>
        <w:t>3.4 0–6 分级评分结果</w:t>
      </w:r>
      <w:r>
        <w:rPr>
          <w:rFonts w:ascii="Times New Roman" w:hAnsi="Times New Roman" w:eastAsia="宋体"/>
          <w:b w:val="0"/>
          <w:sz w:val="20"/>
        </w:rPr>
        <w:tab/>
        <w:t>8</w:t>
      </w:r>
    </w:p>
    <w:p>
      <w:pPr>
        <w:tabs>
          <w:tab w:pos="8844" w:val="right" w:leader="dot"/>
        </w:tabs>
        <w:spacing w:before="0" w:after="0" w:line="252" w:lineRule="auto"/>
        <w:ind w:left="425"/>
      </w:pPr>
      <w:r>
        <w:rPr>
          <w:rFonts w:ascii="Times New Roman" w:hAnsi="Times New Roman" w:eastAsia="宋体"/>
          <w:b w:val="0"/>
          <w:sz w:val="20"/>
        </w:rPr>
        <w:t>3.5 结果分析与讨论</w:t>
      </w:r>
      <w:r>
        <w:rPr>
          <w:rFonts w:ascii="Times New Roman" w:hAnsi="Times New Roman" w:eastAsia="宋体"/>
          <w:b w:val="0"/>
          <w:sz w:val="20"/>
        </w:rPr>
        <w:tab/>
        <w:t>10</w:t>
      </w:r>
    </w:p>
    <w:p>
      <w:pPr>
        <w:tabs>
          <w:tab w:pos="8844" w:val="right" w:leader="dot"/>
        </w:tabs>
        <w:spacing w:before="0" w:after="0" w:line="252" w:lineRule="auto"/>
        <w:ind w:left="0"/>
      </w:pPr>
      <w:r>
        <w:rPr>
          <w:rFonts w:ascii="Times New Roman" w:hAnsi="Times New Roman" w:eastAsia="黑体"/>
          <w:b/>
          <w:sz w:val="20"/>
        </w:rPr>
        <w:t>四、问题 2：化合物–风味分析</w:t>
      </w:r>
      <w:r>
        <w:rPr>
          <w:rFonts w:ascii="Times New Roman" w:hAnsi="Times New Roman" w:eastAsia="宋体"/>
          <w:b/>
          <w:sz w:val="20"/>
        </w:rPr>
        <w:tab/>
        <w:t>10</w:t>
      </w:r>
    </w:p>
    <w:p>
      <w:pPr>
        <w:tabs>
          <w:tab w:pos="8844" w:val="right" w:leader="dot"/>
        </w:tabs>
        <w:spacing w:before="0" w:after="0" w:line="252" w:lineRule="auto"/>
        <w:ind w:left="425"/>
      </w:pPr>
      <w:r>
        <w:rPr>
          <w:rFonts w:ascii="Times New Roman" w:hAnsi="Times New Roman" w:eastAsia="宋体"/>
          <w:b w:val="0"/>
          <w:sz w:val="20"/>
        </w:rPr>
        <w:t>4.1 化合物共表达图构建</w:t>
      </w:r>
      <w:r>
        <w:rPr>
          <w:rFonts w:ascii="Times New Roman" w:hAnsi="Times New Roman" w:eastAsia="宋体"/>
          <w:b w:val="0"/>
          <w:sz w:val="20"/>
        </w:rPr>
        <w:tab/>
        <w:t>10</w:t>
      </w:r>
    </w:p>
    <w:p>
      <w:pPr>
        <w:tabs>
          <w:tab w:pos="8844" w:val="right" w:leader="dot"/>
        </w:tabs>
        <w:spacing w:before="0" w:after="0" w:line="252" w:lineRule="auto"/>
        <w:ind w:left="425"/>
      </w:pPr>
      <w:r>
        <w:rPr>
          <w:rFonts w:ascii="Times New Roman" w:hAnsi="Times New Roman" w:eastAsia="宋体"/>
          <w:b w:val="0"/>
          <w:sz w:val="20"/>
        </w:rPr>
        <w:t>4.2 多方法重要性度量与秩聚合</w:t>
      </w:r>
      <w:r>
        <w:rPr>
          <w:rFonts w:ascii="Times New Roman" w:hAnsi="Times New Roman" w:eastAsia="宋体"/>
          <w:b w:val="0"/>
          <w:sz w:val="20"/>
        </w:rPr>
        <w:tab/>
        <w:t>12</w:t>
      </w:r>
    </w:p>
    <w:p>
      <w:pPr>
        <w:tabs>
          <w:tab w:pos="8844" w:val="right" w:leader="dot"/>
        </w:tabs>
        <w:spacing w:before="0" w:after="0" w:line="252" w:lineRule="auto"/>
        <w:ind w:left="425"/>
      </w:pPr>
      <w:r>
        <w:rPr>
          <w:rFonts w:ascii="Times New Roman" w:hAnsi="Times New Roman" w:eastAsia="宋体"/>
          <w:b w:val="0"/>
          <w:sz w:val="20"/>
        </w:rPr>
        <w:t>4.3 各感官维度的 Top-3 关键化合物</w:t>
      </w:r>
      <w:r>
        <w:rPr>
          <w:rFonts w:ascii="Times New Roman" w:hAnsi="Times New Roman" w:eastAsia="宋体"/>
          <w:b w:val="0"/>
          <w:sz w:val="20"/>
        </w:rPr>
        <w:tab/>
        <w:t>12</w:t>
      </w:r>
    </w:p>
    <w:p>
      <w:pPr>
        <w:tabs>
          <w:tab w:pos="8844" w:val="right" w:leader="dot"/>
        </w:tabs>
        <w:spacing w:before="0" w:after="0" w:line="252" w:lineRule="auto"/>
        <w:ind w:left="425"/>
      </w:pPr>
      <w:r>
        <w:rPr>
          <w:rFonts w:ascii="Times New Roman" w:hAnsi="Times New Roman" w:eastAsia="宋体"/>
          <w:b w:val="0"/>
          <w:sz w:val="20"/>
        </w:rPr>
        <w:t>4.4 稳定性分析</w:t>
      </w:r>
      <w:r>
        <w:rPr>
          <w:rFonts w:ascii="Times New Roman" w:hAnsi="Times New Roman" w:eastAsia="宋体"/>
          <w:b w:val="0"/>
          <w:sz w:val="20"/>
        </w:rPr>
        <w:tab/>
        <w:t>14</w:t>
      </w:r>
    </w:p>
    <w:p>
      <w:pPr>
        <w:tabs>
          <w:tab w:pos="8844" w:val="right" w:leader="dot"/>
        </w:tabs>
        <w:spacing w:before="0" w:after="0" w:line="252" w:lineRule="auto"/>
        <w:ind w:left="425"/>
      </w:pPr>
      <w:r>
        <w:rPr>
          <w:rFonts w:ascii="Times New Roman" w:hAnsi="Times New Roman" w:eastAsia="宋体"/>
          <w:b w:val="0"/>
          <w:sz w:val="20"/>
        </w:rPr>
        <w:t>4.5 化学合理性论证</w:t>
      </w:r>
      <w:r>
        <w:rPr>
          <w:rFonts w:ascii="Times New Roman" w:hAnsi="Times New Roman" w:eastAsia="宋体"/>
          <w:b w:val="0"/>
          <w:sz w:val="20"/>
        </w:rPr>
        <w:tab/>
        <w:t>14</w:t>
      </w:r>
    </w:p>
    <w:p>
      <w:pPr>
        <w:tabs>
          <w:tab w:pos="8844" w:val="right" w:leader="dot"/>
        </w:tabs>
        <w:spacing w:before="0" w:after="0" w:line="252" w:lineRule="auto"/>
        <w:ind w:left="0"/>
      </w:pPr>
      <w:r>
        <w:rPr>
          <w:rFonts w:ascii="Times New Roman" w:hAnsi="Times New Roman" w:eastAsia="黑体"/>
          <w:b/>
          <w:sz w:val="20"/>
        </w:rPr>
        <w:t>五、问题 3：风味与"风味指纹"生成</w:t>
      </w:r>
      <w:r>
        <w:rPr>
          <w:rFonts w:ascii="Times New Roman" w:hAnsi="Times New Roman" w:eastAsia="宋体"/>
          <w:b/>
          <w:sz w:val="20"/>
        </w:rPr>
        <w:tab/>
        <w:t>15</w:t>
      </w:r>
    </w:p>
    <w:p>
      <w:pPr>
        <w:tabs>
          <w:tab w:pos="8844" w:val="right" w:leader="dot"/>
        </w:tabs>
        <w:spacing w:before="0" w:after="0" w:line="252" w:lineRule="auto"/>
        <w:ind w:left="425"/>
      </w:pPr>
      <w:r>
        <w:rPr>
          <w:rFonts w:ascii="Times New Roman" w:hAnsi="Times New Roman" w:eastAsia="宋体"/>
          <w:b w:val="0"/>
          <w:sz w:val="20"/>
        </w:rPr>
        <w:t>5.1 可逆特征空间与生成模型</w:t>
      </w:r>
      <w:r>
        <w:rPr>
          <w:rFonts w:ascii="Times New Roman" w:hAnsi="Times New Roman" w:eastAsia="宋体"/>
          <w:b w:val="0"/>
          <w:sz w:val="20"/>
        </w:rPr>
        <w:tab/>
        <w:t>15</w:t>
      </w:r>
    </w:p>
    <w:p>
      <w:pPr>
        <w:tabs>
          <w:tab w:pos="8844" w:val="right" w:leader="dot"/>
        </w:tabs>
        <w:spacing w:before="0" w:after="0" w:line="252" w:lineRule="auto"/>
        <w:ind w:left="425"/>
      </w:pPr>
      <w:r>
        <w:rPr>
          <w:rFonts w:ascii="Times New Roman" w:hAnsi="Times New Roman" w:eastAsia="宋体"/>
          <w:b w:val="0"/>
          <w:sz w:val="20"/>
        </w:rPr>
        <w:t>5.2 生成质量评价体系</w:t>
      </w:r>
      <w:r>
        <w:rPr>
          <w:rFonts w:ascii="Times New Roman" w:hAnsi="Times New Roman" w:eastAsia="宋体"/>
          <w:b w:val="0"/>
          <w:sz w:val="20"/>
        </w:rPr>
        <w:tab/>
        <w:t>16</w:t>
      </w:r>
    </w:p>
    <w:p>
      <w:pPr>
        <w:tabs>
          <w:tab w:pos="8844" w:val="right" w:leader="dot"/>
        </w:tabs>
        <w:spacing w:before="0" w:after="0" w:line="252" w:lineRule="auto"/>
        <w:ind w:left="425"/>
      </w:pPr>
      <w:r>
        <w:rPr>
          <w:rFonts w:ascii="Times New Roman" w:hAnsi="Times New Roman" w:eastAsia="宋体"/>
          <w:b w:val="0"/>
          <w:sz w:val="20"/>
        </w:rPr>
        <w:t>5.3 三风格化合物谱与感官画像</w:t>
      </w:r>
      <w:r>
        <w:rPr>
          <w:rFonts w:ascii="Times New Roman" w:hAnsi="Times New Roman" w:eastAsia="宋体"/>
          <w:b w:val="0"/>
          <w:sz w:val="20"/>
        </w:rPr>
        <w:tab/>
        <w:t>17</w:t>
      </w:r>
    </w:p>
    <w:p>
      <w:pPr>
        <w:tabs>
          <w:tab w:pos="8844" w:val="right" w:leader="dot"/>
        </w:tabs>
        <w:spacing w:before="0" w:after="0" w:line="252" w:lineRule="auto"/>
        <w:ind w:left="425"/>
      </w:pPr>
      <w:r>
        <w:rPr>
          <w:rFonts w:ascii="Times New Roman" w:hAnsi="Times New Roman" w:eastAsia="宋体"/>
          <w:b w:val="0"/>
          <w:sz w:val="20"/>
        </w:rPr>
        <w:t>5.4 跨风格迁移：Pils/Lager → Tripel</w:t>
      </w:r>
      <w:r>
        <w:rPr>
          <w:rFonts w:ascii="Times New Roman" w:hAnsi="Times New Roman" w:eastAsia="宋体"/>
          <w:b w:val="0"/>
          <w:sz w:val="20"/>
        </w:rPr>
        <w:tab/>
        <w:t>18</w:t>
      </w:r>
    </w:p>
    <w:p>
      <w:pPr>
        <w:tabs>
          <w:tab w:pos="8844" w:val="right" w:leader="dot"/>
        </w:tabs>
        <w:spacing w:before="0" w:after="0" w:line="252" w:lineRule="auto"/>
        <w:ind w:left="425"/>
      </w:pPr>
      <w:r>
        <w:rPr>
          <w:rFonts w:ascii="Times New Roman" w:hAnsi="Times New Roman" w:eastAsia="宋体"/>
          <w:b w:val="0"/>
          <w:sz w:val="20"/>
        </w:rPr>
        <w:t>5.5 缺陷化合物控制与结果讨论</w:t>
      </w:r>
      <w:r>
        <w:rPr>
          <w:rFonts w:ascii="Times New Roman" w:hAnsi="Times New Roman" w:eastAsia="宋体"/>
          <w:b w:val="0"/>
          <w:sz w:val="20"/>
        </w:rPr>
        <w:tab/>
        <w:t>20</w:t>
      </w:r>
    </w:p>
    <w:p>
      <w:pPr>
        <w:tabs>
          <w:tab w:pos="8844" w:val="right" w:leader="dot"/>
        </w:tabs>
        <w:spacing w:before="0" w:after="0" w:line="252" w:lineRule="auto"/>
        <w:ind w:left="0"/>
      </w:pPr>
      <w:r>
        <w:rPr>
          <w:rFonts w:ascii="Times New Roman" w:hAnsi="Times New Roman" w:eastAsia="黑体"/>
          <w:b/>
          <w:sz w:val="20"/>
        </w:rPr>
        <w:t>六、模型评价与推广</w:t>
      </w:r>
      <w:r>
        <w:rPr>
          <w:rFonts w:ascii="Times New Roman" w:hAnsi="Times New Roman" w:eastAsia="宋体"/>
          <w:b/>
          <w:sz w:val="20"/>
        </w:rPr>
        <w:tab/>
        <w:t>20</w:t>
      </w:r>
    </w:p>
    <w:p>
      <w:pPr>
        <w:tabs>
          <w:tab w:pos="8844" w:val="right" w:leader="dot"/>
        </w:tabs>
        <w:spacing w:before="0" w:after="0" w:line="252" w:lineRule="auto"/>
        <w:ind w:left="425"/>
      </w:pPr>
      <w:r>
        <w:rPr>
          <w:rFonts w:ascii="Times New Roman" w:hAnsi="Times New Roman" w:eastAsia="宋体"/>
          <w:b w:val="0"/>
          <w:sz w:val="20"/>
        </w:rPr>
        <w:t>6.1 模型优点</w:t>
      </w:r>
      <w:r>
        <w:rPr>
          <w:rFonts w:ascii="Times New Roman" w:hAnsi="Times New Roman" w:eastAsia="宋体"/>
          <w:b w:val="0"/>
          <w:sz w:val="20"/>
        </w:rPr>
        <w:tab/>
        <w:t>20</w:t>
      </w:r>
    </w:p>
    <w:p>
      <w:pPr>
        <w:tabs>
          <w:tab w:pos="8844" w:val="right" w:leader="dot"/>
        </w:tabs>
        <w:spacing w:before="0" w:after="0" w:line="252" w:lineRule="auto"/>
        <w:ind w:left="425"/>
      </w:pPr>
      <w:r>
        <w:rPr>
          <w:rFonts w:ascii="Times New Roman" w:hAnsi="Times New Roman" w:eastAsia="宋体"/>
          <w:b w:val="0"/>
          <w:sz w:val="20"/>
        </w:rPr>
        <w:t>6.2 局限性与改进方向</w:t>
      </w:r>
      <w:r>
        <w:rPr>
          <w:rFonts w:ascii="Times New Roman" w:hAnsi="Times New Roman" w:eastAsia="宋体"/>
          <w:b w:val="0"/>
          <w:sz w:val="20"/>
        </w:rPr>
        <w:tab/>
        <w:t>21</w:t>
      </w:r>
    </w:p>
    <w:p>
      <w:pPr>
        <w:tabs>
          <w:tab w:pos="8844" w:val="right" w:leader="dot"/>
        </w:tabs>
        <w:spacing w:before="0" w:after="0" w:line="252" w:lineRule="auto"/>
        <w:ind w:left="425"/>
      </w:pPr>
      <w:r>
        <w:rPr>
          <w:rFonts w:ascii="Times New Roman" w:hAnsi="Times New Roman" w:eastAsia="宋体"/>
          <w:b w:val="0"/>
          <w:sz w:val="20"/>
        </w:rPr>
        <w:t>6.3 应用推广</w:t>
      </w:r>
      <w:r>
        <w:rPr>
          <w:rFonts w:ascii="Times New Roman" w:hAnsi="Times New Roman" w:eastAsia="宋体"/>
          <w:b w:val="0"/>
          <w:sz w:val="20"/>
        </w:rPr>
        <w:tab/>
        <w:t>21</w:t>
      </w:r>
    </w:p>
    <w:p>
      <w:pPr>
        <w:tabs>
          <w:tab w:pos="8844" w:val="right" w:leader="dot"/>
        </w:tabs>
        <w:spacing w:before="0" w:after="0" w:line="252" w:lineRule="auto"/>
        <w:ind w:left="0"/>
      </w:pPr>
      <w:r>
        <w:rPr>
          <w:rFonts w:ascii="Times New Roman" w:hAnsi="Times New Roman" w:eastAsia="黑体"/>
          <w:b/>
          <w:sz w:val="20"/>
        </w:rPr>
        <w:t>七、结论与建议</w:t>
      </w:r>
      <w:r>
        <w:rPr>
          <w:rFonts w:ascii="Times New Roman" w:hAnsi="Times New Roman" w:eastAsia="宋体"/>
          <w:b/>
          <w:sz w:val="20"/>
        </w:rPr>
        <w:tab/>
        <w:t>21</w:t>
      </w:r>
    </w:p>
    <w:p>
      <w:pPr>
        <w:tabs>
          <w:tab w:pos="8844" w:val="right" w:leader="dot"/>
        </w:tabs>
        <w:spacing w:before="0" w:after="0" w:line="252" w:lineRule="auto"/>
        <w:ind w:left="0"/>
      </w:pPr>
      <w:r>
        <w:rPr>
          <w:rFonts w:ascii="Times New Roman" w:hAnsi="Times New Roman" w:eastAsia="黑体"/>
          <w:b/>
          <w:sz w:val="20"/>
        </w:rPr>
        <w:t>参考文献</w:t>
      </w:r>
      <w:r>
        <w:rPr>
          <w:rFonts w:ascii="Times New Roman" w:hAnsi="Times New Roman" w:eastAsia="宋体"/>
          <w:b/>
          <w:sz w:val="20"/>
        </w:rPr>
        <w:tab/>
        <w:t>22</w:t>
      </w:r>
    </w:p>
    <w:p>
      <w:pPr>
        <w:tabs>
          <w:tab w:pos="8844" w:val="right" w:leader="dot"/>
        </w:tabs>
        <w:spacing w:before="0" w:after="0" w:line="252" w:lineRule="auto"/>
        <w:ind w:left="0"/>
      </w:pPr>
      <w:r>
        <w:rPr>
          <w:rFonts w:ascii="Times New Roman" w:hAnsi="Times New Roman" w:eastAsia="黑体"/>
          <w:b/>
          <w:sz w:val="20"/>
        </w:rPr>
        <w:t>附录 A  软件环境、运行命令与核心代码</w:t>
      </w:r>
      <w:r>
        <w:rPr>
          <w:rFonts w:ascii="Times New Roman" w:hAnsi="Times New Roman" w:eastAsia="宋体"/>
          <w:b/>
          <w:sz w:val="20"/>
        </w:rPr>
        <w:tab/>
        <w:t>23</w:t>
      </w:r>
    </w:p>
    <w:p>
      <w:pPr>
        <w:tabs>
          <w:tab w:pos="8844" w:val="right" w:leader="dot"/>
        </w:tabs>
        <w:spacing w:before="0" w:after="0" w:line="252" w:lineRule="auto"/>
        <w:ind w:left="0"/>
      </w:pPr>
      <w:r>
        <w:rPr>
          <w:rFonts w:ascii="Times New Roman" w:hAnsi="Times New Roman" w:eastAsia="黑体"/>
          <w:b/>
          <w:sz w:val="20"/>
        </w:rPr>
        <w:t>附录 B  补充结果表</w:t>
      </w:r>
      <w:r>
        <w:rPr>
          <w:rFonts w:ascii="Times New Roman" w:hAnsi="Times New Roman" w:eastAsia="宋体"/>
          <w:b/>
          <w:sz w:val="20"/>
        </w:rPr>
        <w:tab/>
        <w:t>24</w:t>
      </w:r>
    </w:p>
    <w:p>
      <w:pPr>
        <w:sectPr>
          <w:pgSz w:w="11906" w:h="16838"/>
          <w:pgMar w:top="1417" w:right="1474" w:bottom="1304" w:left="1474" w:header="720" w:footer="720" w:gutter="0"/>
          <w:cols w:space="720"/>
          <w:docGrid w:linePitch="360"/>
        </w:sectPr>
      </w:pPr>
    </w:p>
    <w:p>
      <w:pPr>
        <w:keepNext/>
        <w:spacing w:before="240" w:after="120"/>
        <w:jc w:val="left"/>
      </w:pPr>
      <w:r>
        <w:rPr>
          <w:rFonts w:ascii="Times New Roman" w:hAnsi="Times New Roman" w:eastAsia="黑体"/>
          <w:b/>
          <w:sz w:val="30"/>
        </w:rPr>
        <w:t>一、问题重述与分析</w:t>
      </w:r>
    </w:p>
    <w:p>
      <w:pPr>
        <w:keepNext/>
        <w:spacing w:before="160" w:after="80"/>
      </w:pPr>
      <w:r>
        <w:rPr>
          <w:rFonts w:ascii="Times New Roman" w:hAnsi="Times New Roman" w:eastAsia="黑体"/>
          <w:b/>
          <w:sz w:val="24"/>
        </w:rPr>
        <w:t>1.1 问题背景</w:t>
      </w:r>
    </w:p>
    <w:p>
      <w:pPr>
        <w:spacing w:before="0" w:after="60"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啤酒是以麦芽、水为主要原料，添加啤酒花并经酵母发酵酿制而成的低酒精度发酵酒。其风味由数百种化合物共同决定：酒花带来的萜类化合物贡献草本与果香，酵母代谢产生的酯类与高级醇贡献果香与溶剂香，麦芽在焙烤与糖化过程中生成的呋喃、吡嗪与醛类贡献麦芽香与焦香；此外，非酿酒酵母与细菌等野生菌群以及香料、陈化过程还会产生 4-乙烯基愈创木酚、乳酸、乙酸、二甲基硫、双乙酰、反-2-壬烯醛等特征或缺陷化合物。不同化合物在糖代谢、乙醇耐受、抗逆性、酯类与高级醇合成，以及过量高级醇或醛酮类缺陷物质生成等方面存在显著差异，直接决定啤酒的果香浓度、醇厚程度、纯净度与发酵效率[1]。如果能由化学组成定量预测感官风味，并进一步按风格"设计"化合物谱，将为啤酒质量控制、风味定向改良与新产品开发提供强有力的数据驱动工具[1][3]。</w:t>
      </w:r>
    </w:p>
    <w:p>
      <w:pPr>
        <w:spacing w:before="0" w:after="60"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本题给出的数据来自 250 款商用比利时啤酒（22 个风格）的系统化学与感官分析，包含 231 项化学特征、50 个感官维度的人工品评结果、化学/感官相关矩阵以及 18 万余条网络评论的文本挖掘结果。数据存在真实缺失值与异常值，且感官标签经过复杂预处理，这对数据理解、建模与结论解释提出了较高要求。</w:t>
      </w:r>
    </w:p>
    <w:p>
      <w:pPr>
        <w:keepNext/>
        <w:spacing w:before="160" w:after="80"/>
      </w:pPr>
      <w:r>
        <w:rPr>
          <w:rFonts w:ascii="Times New Roman" w:hAnsi="Times New Roman" w:eastAsia="黑体"/>
          <w:b/>
          <w:sz w:val="24"/>
        </w:rPr>
        <w:t>1.2 数据说明</w:t>
      </w:r>
    </w:p>
    <w:p>
      <w:pPr>
        <w:spacing w:before="0" w:after="60"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附件共 8 个数据文件，其内容与本文核验结论如表 1 所示。需要强调的是，赛题文字说明与附件实际内容存在若干"陷阱"（例如 4.csv 的数值并非原始 0–6 分、2.csv 实为 Spearman 而非 Pearson 相关），本文在第二章逐一核验并给出证据。</w:t>
      </w:r>
    </w:p>
    <w:p>
      <w:pPr>
        <w:spacing w:before="40" w:after="160"/>
        <w:jc w:val="center"/>
      </w:pPr>
      <w:r>
        <w:rPr>
          <w:rFonts w:ascii="Times New Roman" w:hAnsi="Times New Roman" w:eastAsia="宋体"/>
          <w:b w:val="0"/>
          <w:sz w:val="19"/>
        </w:rPr>
        <w:t>表 1  附件数据构成与本文核验结论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6"/>
              </w:rPr>
              <w:t>文件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6"/>
              </w:rPr>
              <w:t>规模</w:t>
            </w:r>
          </w:p>
        </w:tc>
        <w:tc>
          <w:tcPr>
            <w:tcW w:type="dxa" w:w="6350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6"/>
              </w:rPr>
              <w:t>内容与核验结论</w:t>
            </w:r>
          </w:p>
        </w:tc>
      </w:tr>
      <w:tr>
        <w:tc>
          <w:tcPr>
            <w:tcW w:type="dxa" w:w="102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1.csv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250×234</w:t>
            </w:r>
          </w:p>
        </w:tc>
        <w:tc>
          <w:tcPr>
            <w:tcW w:type="dxa" w:w="635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250 款啤酒×231 项化学特征（37 列为 log10 浓度，23 列与校准浓度同量纲，其余为未校准响应值）</w:t>
            </w:r>
          </w:p>
        </w:tc>
      </w:tr>
      <w:tr>
        <w:tc>
          <w:tcPr>
            <w:tcW w:type="dxa" w:w="102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2.csv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231×231</w:t>
            </w:r>
          </w:p>
        </w:tc>
        <w:tc>
          <w:tcPr>
            <w:tcW w:type="dxa" w:w="635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231 个化合物间的相关矩阵，核验为 Spearman 相关（r=0.9999）</w:t>
            </w:r>
          </w:p>
        </w:tc>
      </w:tr>
      <w:tr>
        <w:tc>
          <w:tcPr>
            <w:tcW w:type="dxa" w:w="102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3.xlsx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12 张评分卡+汇总</w:t>
            </w:r>
          </w:p>
        </w:tc>
        <w:tc>
          <w:tcPr>
            <w:tcW w:type="dxa" w:w="635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人工感官评分卡模板（Aroma/Flavour 两套），尺度 0–6 分</w:t>
            </w:r>
          </w:p>
        </w:tc>
      </w:tr>
      <w:tr>
        <w:tc>
          <w:tcPr>
            <w:tcW w:type="dxa" w:w="102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4.csv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250×53</w:t>
            </w:r>
          </w:p>
        </w:tc>
        <w:tc>
          <w:tcPr>
            <w:tcW w:type="dxa" w:w="635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50 个感官维度的连续值，为逐品评员 z 化后的均值，非原始 0–6 分</w:t>
            </w:r>
          </w:p>
        </w:tc>
      </w:tr>
      <w:tr>
        <w:tc>
          <w:tcPr>
            <w:tcW w:type="dxa" w:w="102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5.csv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50×50</w:t>
            </w:r>
          </w:p>
        </w:tc>
        <w:tc>
          <w:tcPr>
            <w:tcW w:type="dxa" w:w="635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50 个感官维度间的 Spearman 相关矩阵</w:t>
            </w:r>
          </w:p>
        </w:tc>
      </w:tr>
      <w:tr>
        <w:tc>
          <w:tcPr>
            <w:tcW w:type="dxa" w:w="102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6.csv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44×51</w:t>
            </w:r>
          </w:p>
        </w:tc>
        <w:tc>
          <w:tcPr>
            <w:tcW w:type="dxa" w:w="635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化学/理化指标（44 行）×感官属性（50 列）交叉相关矩阵</w:t>
            </w:r>
          </w:p>
        </w:tc>
      </w:tr>
      <w:tr>
        <w:tc>
          <w:tcPr>
            <w:tcW w:type="dxa" w:w="102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7.csv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250×189</w:t>
            </w:r>
          </w:p>
        </w:tc>
        <w:tc>
          <w:tcPr>
            <w:tcW w:type="dxa" w:w="635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250 款啤酒×187 个感官描述符的论坛评论文本挖掘数据</w:t>
            </w:r>
          </w:p>
        </w:tc>
      </w:tr>
      <w:tr>
        <w:tc>
          <w:tcPr>
            <w:tcW w:type="dxa" w:w="102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8.xlsx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7 张工作表</w:t>
            </w:r>
          </w:p>
        </w:tc>
        <w:tc>
          <w:tcPr>
            <w:tcW w:type="dxa" w:w="635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感官阈值表、校准化学数据、GBM 重要性与 SHAP 值、啤酒价格等参考数据</w:t>
            </w:r>
          </w:p>
        </w:tc>
      </w:tr>
    </w:tbl>
    <w:p>
      <w:pPr>
        <w:spacing w:after="40"/>
      </w:pPr>
    </w:p>
    <w:p>
      <w:pPr>
        <w:keepNext/>
        <w:spacing w:before="160" w:after="80"/>
      </w:pPr>
      <w:r>
        <w:rPr>
          <w:rFonts w:ascii="Times New Roman" w:hAnsi="Times New Roman" w:eastAsia="黑体"/>
          <w:b/>
          <w:sz w:val="24"/>
        </w:rPr>
        <w:t>1.3 三个任务的建模思路</w:t>
      </w:r>
    </w:p>
    <w:p>
      <w:pPr>
        <w:spacing w:before="0" w:after="60"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问题 1 要求在化学数据存在缺失的条件下，给出 3.xlsx 中定义的 Aroma 与 Flavour 两套、共约 40 个感官维度的 0–6 分级评分。其本质是一个"高维小样本、多输出、含缺失"的回归问题，且输出需要离散化到 0–6 整数等级。本文的技术路线为：数据核验与缺失填补 → 秩-高斯特征变换 → 多输出回归模型比较 → 线性潜变量模型反演 0–6 等级 → 按官方评分表格式输出结果，并通过模拟缺失实验验证鲁棒性。</w:t>
      </w:r>
    </w:p>
    <w:p>
      <w:pPr>
        <w:spacing w:before="0" w:after="60"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问题 2 要求利用 2.csv 构建化合物共表达图，结合 1.csv 特征给出每个感官维度的 Top-3 关键化合物，并进行稳定性与化学合理性论证。本文将其分解为"网络构建—重要性度量—秩聚合—稳定性检验—机制解释"五个环节：先由相关矩阵构建加权共表达网络并用 Louvain 算法识别化学模块，再以单变量相关、多任务Lasso、逐维度极端随机树和图上个性化 PageRank、模块特征基因关联五种互补方法度量重要性，经单变量初筛后做加权 Borda 秩聚合得到 Top-3，最后用 bootstrap 入选频率与 Jaccard 系数量化稳定性，并用标志化合物命中率、来源一致性和阈值非线性检验论证化学合理性。</w:t>
      </w:r>
    </w:p>
    <w:p>
      <w:pPr>
        <w:spacing w:before="0" w:after="60"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问题 3 要求以 tasting_category_fine 为风格标签学习风格条件生成模型，在给定风格下生成合理的化合物谱与感官画像，并完成 Pils/Lager → Tripel 的跨风格迁移且保证缺陷化合物不恶化。本文构建可逆的对数-标准化特征空间，比较条件概率主成分生成器与条件变分自编码器，以五项指标客观选优；随后在潜在空间做风格方向平移实现迁移，并在输出空间对 DMS、4VG、双乙酰、反-2-壬烯醛四项缺陷化合物实施精确投影约束，确保迁移样本的缺陷指数不高于源样本。</w:t>
      </w:r>
    </w:p>
    <w:p>
      <w:pPr>
        <w:keepNext/>
        <w:spacing w:before="240" w:after="120"/>
        <w:jc w:val="left"/>
      </w:pPr>
      <w:r>
        <w:rPr>
          <w:rFonts w:ascii="Times New Roman" w:hAnsi="Times New Roman" w:eastAsia="黑体"/>
          <w:b/>
          <w:sz w:val="30"/>
        </w:rPr>
        <w:t>二、数据核验与预处理</w:t>
      </w:r>
    </w:p>
    <w:p>
      <w:pPr>
        <w:spacing w:before="0" w:after="60"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数据理解是本赛题的关键。附件 8.xlsx 中包含原始研究的补充材料（感官阈值表、校准化学数据、GBM 重要性与 SHAP 值等），为反推附件 1–7 的加工方式提供了重要线索[1][3]。本章据此完成 5 项核验与 3 项预处理。</w:t>
      </w:r>
    </w:p>
    <w:p>
      <w:pPr>
        <w:keepNext/>
        <w:spacing w:before="160" w:after="80"/>
      </w:pPr>
      <w:r>
        <w:rPr>
          <w:rFonts w:ascii="Times New Roman" w:hAnsi="Times New Roman" w:eastAsia="黑体"/>
          <w:b/>
          <w:sz w:val="24"/>
        </w:rPr>
        <w:t>2.1 数据完整性与一致性核验</w:t>
      </w:r>
    </w:p>
    <w:p>
      <w:pPr>
        <w:spacing w:before="0" w:after="60"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（1）样本一致性。1.csv、4.csv、7.csv 的 beer 列（1–250）与风格标签完全一致，可按 beer 序号直接对齐；但 beer_id 列在 1.csv 与 4.csv 中顺序不同，因此后续一律以 beer 序号为准。</w:t>
      </w:r>
    </w:p>
    <w:p>
      <w:pPr>
        <w:spacing w:before="0" w:after="60"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（2）化学相关性矩阵的类型。2.csv 的描述在赛题正文中被称为"Pearson 相关系数"，而附件数据说明中称为"Spearman 相关"。本文用 1.csv 的 231 个化学特征列重新计算两种相关系数并与 2.csv 逐一比对：与 Spearman 相关矩阵的逐元素相关系数 r=0.999965、平均绝对偏差 MAD=0.000245；与 Pearson 相关矩阵的 r=0.7718、MAD=0.0877。可见 2.csv 实为 Spearman 秩相关矩阵，本文后续所有网络分析均基于该矩阵。</w:t>
      </w:r>
    </w:p>
    <w:p>
      <w:pPr>
        <w:spacing w:before="0" w:after="60"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（3）化学数据的加工方式。1.csv 的 231 个化学列与 8.xlsx 的"Calibrated chemical dataset"（70 个已校准化合物）按 beer 对齐后逐列回归：其中 37 列的 1.csv 数值与校准浓度的 log10 完全线性一致（r=1.0000，斜率 ln10=2.303），说明这些列已做过以 10 为底的对数变换；23 列与校准浓度同量纲；其余 10 列因校准曲线非线性而不满足简单变换关系。进一步地，pH 列取值范围为 0.57–0.67，恰为 pH 3.7–4.7 的 log10；ethanol、color、bitterness、CO₂、kcal、protein 等列亦均与校准值的 log10 完全一致（表 2）。因此赛题说明中"少量理化参数保留原始量纲"的说法与附件 1.csv 的实际内容不符，实际所有 37 个已校准参数列（包括 pH、乙醇、色度等）都已取 log10。这一发现对后续建模至关重要：若按原始 pH 理解该列，将引入严重的量纲错误。</w:t>
      </w:r>
    </w:p>
    <w:p>
      <w:pPr>
        <w:spacing w:before="40" w:after="160"/>
        <w:jc w:val="center"/>
      </w:pPr>
      <w:r>
        <w:rPr>
          <w:rFonts w:ascii="Times New Roman" w:hAnsi="Times New Roman" w:eastAsia="宋体"/>
          <w:b w:val="0"/>
          <w:sz w:val="19"/>
        </w:rPr>
        <w:t>表 2  化学特征变换方式核验示例（1.csv 数值 = 校准值的 log10）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7"/>
              </w:rPr>
              <w:t>列名</w:t>
            </w:r>
          </w:p>
        </w:tc>
        <w:tc>
          <w:tcPr>
            <w:tcW w:type="dxa" w:w="223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7"/>
              </w:rPr>
              <w:t>1.csv 取值示例</w:t>
            </w:r>
          </w:p>
        </w:tc>
        <w:tc>
          <w:tcPr>
            <w:tcW w:type="dxa" w:w="223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7"/>
              </w:rPr>
              <w:t>校准表数值</w:t>
            </w:r>
          </w:p>
        </w:tc>
        <w:tc>
          <w:tcPr>
            <w:tcW w:type="dxa" w:w="223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7"/>
              </w:rPr>
              <w:t>反推结论</w:t>
            </w:r>
          </w:p>
        </w:tc>
      </w:tr>
      <w:tr>
        <w:tc>
          <w:tcPr>
            <w:tcW w:type="dxa" w:w="223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pH</w:t>
            </w:r>
          </w:p>
        </w:tc>
        <w:tc>
          <w:tcPr>
            <w:tcW w:type="dxa" w:w="223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0.6248</w:t>
            </w:r>
          </w:p>
        </w:tc>
        <w:tc>
          <w:tcPr>
            <w:tcW w:type="dxa" w:w="223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4.215</w:t>
            </w:r>
          </w:p>
        </w:tc>
        <w:tc>
          <w:tcPr>
            <w:tcW w:type="dxa" w:w="223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log10(pH)</w:t>
            </w:r>
          </w:p>
        </w:tc>
      </w:tr>
      <w:tr>
        <w:tc>
          <w:tcPr>
            <w:tcW w:type="dxa" w:w="223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color.EBC.</w:t>
            </w:r>
          </w:p>
        </w:tc>
        <w:tc>
          <w:tcPr>
            <w:tcW w:type="dxa" w:w="223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0.7745</w:t>
            </w:r>
          </w:p>
        </w:tc>
        <w:tc>
          <w:tcPr>
            <w:tcW w:type="dxa" w:w="223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5.950</w:t>
            </w:r>
          </w:p>
        </w:tc>
        <w:tc>
          <w:tcPr>
            <w:tcW w:type="dxa" w:w="223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log10(EBC)</w:t>
            </w:r>
          </w:p>
        </w:tc>
      </w:tr>
      <w:tr>
        <w:tc>
          <w:tcPr>
            <w:tcW w:type="dxa" w:w="223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ethanol..v.v.</w:t>
            </w:r>
          </w:p>
        </w:tc>
        <w:tc>
          <w:tcPr>
            <w:tcW w:type="dxa" w:w="223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−1.1549</w:t>
            </w:r>
          </w:p>
        </w:tc>
        <w:tc>
          <w:tcPr>
            <w:tcW w:type="dxa" w:w="223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0.070</w:t>
            </w:r>
          </w:p>
        </w:tc>
        <w:tc>
          <w:tcPr>
            <w:tcW w:type="dxa" w:w="223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log10(%v/v)</w:t>
            </w:r>
          </w:p>
        </w:tc>
      </w:tr>
      <w:tr>
        <w:tc>
          <w:tcPr>
            <w:tcW w:type="dxa" w:w="223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bitterness</w:t>
            </w:r>
          </w:p>
        </w:tc>
        <w:tc>
          <w:tcPr>
            <w:tcW w:type="dxa" w:w="223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0.5434</w:t>
            </w:r>
          </w:p>
        </w:tc>
        <w:tc>
          <w:tcPr>
            <w:tcW w:type="dxa" w:w="223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3.495</w:t>
            </w:r>
          </w:p>
        </w:tc>
        <w:tc>
          <w:tcPr>
            <w:tcW w:type="dxa" w:w="223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log10(IBU)</w:t>
            </w:r>
          </w:p>
        </w:tc>
      </w:tr>
      <w:tr>
        <w:tc>
          <w:tcPr>
            <w:tcW w:type="dxa" w:w="223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CO2.PSI.</w:t>
            </w:r>
          </w:p>
        </w:tc>
        <w:tc>
          <w:tcPr>
            <w:tcW w:type="dxa" w:w="223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0.4914</w:t>
            </w:r>
          </w:p>
        </w:tc>
        <w:tc>
          <w:tcPr>
            <w:tcW w:type="dxa" w:w="223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3.100</w:t>
            </w:r>
          </w:p>
        </w:tc>
        <w:tc>
          <w:tcPr>
            <w:tcW w:type="dxa" w:w="223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log10(PSI)</w:t>
            </w:r>
          </w:p>
        </w:tc>
      </w:tr>
      <w:tr>
        <w:tc>
          <w:tcPr>
            <w:tcW w:type="dxa" w:w="223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DMS</w:t>
            </w:r>
          </w:p>
        </w:tc>
        <w:tc>
          <w:tcPr>
            <w:tcW w:type="dxa" w:w="223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0.7817</w:t>
            </w:r>
          </w:p>
        </w:tc>
        <w:tc>
          <w:tcPr>
            <w:tcW w:type="dxa" w:w="223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6.055</w:t>
            </w:r>
          </w:p>
        </w:tc>
        <w:tc>
          <w:tcPr>
            <w:tcW w:type="dxa" w:w="223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log10(µg/L)</w:t>
            </w:r>
          </w:p>
        </w:tc>
      </w:tr>
      <w:tr>
        <w:tc>
          <w:tcPr>
            <w:tcW w:type="dxa" w:w="223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X4VG</w:t>
            </w:r>
          </w:p>
        </w:tc>
        <w:tc>
          <w:tcPr>
            <w:tcW w:type="dxa" w:w="223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−2.0132</w:t>
            </w:r>
          </w:p>
        </w:tc>
        <w:tc>
          <w:tcPr>
            <w:tcW w:type="dxa" w:w="223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0.0097</w:t>
            </w:r>
          </w:p>
        </w:tc>
        <w:tc>
          <w:tcPr>
            <w:tcW w:type="dxa" w:w="223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log10(mg/L)</w:t>
            </w:r>
          </w:p>
        </w:tc>
      </w:tr>
      <w:tr>
        <w:tc>
          <w:tcPr>
            <w:tcW w:type="dxa" w:w="223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glycerol</w:t>
            </w:r>
          </w:p>
        </w:tc>
        <w:tc>
          <w:tcPr>
            <w:tcW w:type="dxa" w:w="223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0.0195</w:t>
            </w:r>
          </w:p>
        </w:tc>
        <w:tc>
          <w:tcPr>
            <w:tcW w:type="dxa" w:w="223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1.046</w:t>
            </w:r>
          </w:p>
        </w:tc>
        <w:tc>
          <w:tcPr>
            <w:tcW w:type="dxa" w:w="223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log10(g/L)</w:t>
            </w:r>
          </w:p>
        </w:tc>
      </w:tr>
    </w:tbl>
    <w:p>
      <w:pPr>
        <w:spacing w:after="40"/>
      </w:pPr>
    </w:p>
    <w:p>
      <w:pPr>
        <w:keepNext/>
        <w:spacing w:before="160" w:after="80"/>
      </w:pPr>
      <w:r>
        <w:rPr>
          <w:rFonts w:ascii="Times New Roman" w:hAnsi="Times New Roman" w:eastAsia="黑体"/>
          <w:b/>
          <w:sz w:val="24"/>
        </w:rPr>
        <w:t>2.2 变换底数与量纲核验</w:t>
      </w:r>
    </w:p>
    <w:p>
      <w:pPr>
        <w:spacing w:before="0" w:after="60"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对数底数的判定依据是：若 1.csv 数值 y 满足 10^y = 校准浓度 c，则 ln c = ln10·y，对 (y, ln c) 做线性回归的斜率应为 ln10≈2.3026；若 y=ln c，则斜率为 1。实测 37 个参数列的斜率均约为 2.303（表 2 同批核验），故底数为 10。由此还可明确正负号的物理含义：负值对应原始浓度小于 1 的痕量化合物，数值每增大 1 个单位表示浓度升高 10 倍。</w:t>
      </w:r>
    </w:p>
    <w:p>
      <w:pPr>
        <w:keepNext/>
        <w:spacing w:before="160" w:after="80"/>
      </w:pPr>
      <w:r>
        <w:rPr>
          <w:rFonts w:ascii="Times New Roman" w:hAnsi="Times New Roman" w:eastAsia="黑体"/>
          <w:b/>
          <w:sz w:val="24"/>
        </w:rPr>
        <w:t>2.3 缺失值与异常值处理</w:t>
      </w:r>
    </w:p>
    <w:p>
      <w:pPr>
        <w:spacing w:before="0" w:after="60"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1.csv 共 58 500 个单元格，仅 73 个缺失（0.12%），涉及 9 个特征、63 个样本；缺失最多的是乙酸戊酯（27 个）、酒花香气总和（13 个）、甲基吡嗪（12 个）、双乙酰（9 个）与 3-甲基丁醛（7 个）。由于缺失比例极低且分布随机，本文采用 KNN（k=5，距离加权）在特征空间中进行填补；为验证填补策略的影响，第四章的缺失鲁棒性实验表明，在人为随机遮蔽 30% 特征后模型 R² 仅下降 0.019，说明填补方式与缺失处理不是性能瓶颈。异常值方面，部分化合物（如双乙酰、γ-壬内酯、β-大马酮）存在跨 6 个数量级的极端值，本文在秩-高斯变换前按 0.5%/99.5% 分位缩尾，以降低其对线性模型与协方差结构的影响。</w:t>
      </w:r>
    </w:p>
    <w:p>
      <w:pPr>
        <w:keepNext/>
        <w:spacing w:before="160" w:after="80"/>
      </w:pPr>
      <w:r>
        <w:rPr>
          <w:rFonts w:ascii="Times New Roman" w:hAnsi="Times New Roman" w:eastAsia="黑体"/>
          <w:b/>
          <w:sz w:val="24"/>
        </w:rPr>
        <w:t>2.4 感官标签的 z 化性质与 0–6 等级反演</w:t>
      </w:r>
    </w:p>
    <w:p>
      <w:pPr>
        <w:spacing w:before="0" w:after="60"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4.csv 的感官数值存在负值且每列量纲不一（标准差 0.38–0.72），显然不是原始 0–6 分。结合原始论文的方法描述[1]："Scores were scaled by standard deviation and mean-centered per taster"，可判定 4.csv 是逐品评员 z 化后再按啤酒求均值的连续值。设某维度第 b 款啤酒的真实共识评分为 X_b∈[0,6]，品评员 t 的个人偏置与敏感度为 μ_t、σ_t，则</w:t>
      </w:r>
    </w:p>
    <w:p>
      <w:pPr>
        <w:spacing w:before="40" w:after="80"/>
        <w:jc w:val="center"/>
      </w:pPr>
      <w:r>
        <w:rPr>
          <w:rFonts w:ascii="Cambria Math" w:hAnsi="Cambria Math" w:eastAsia="宋体"/>
          <w:b w:val="0"/>
          <w:sz w:val="21"/>
        </w:rPr>
        <w:t>y_b = (1/T) Σ_t (x_t,b − μ_t)/σ_t ≈ a + b·X_b + ε_b ,   ε_b ~ N(0, σ²)</w:t>
      </w:r>
      <w:r>
        <w:rPr>
          <w:rFonts w:ascii="Times New Roman" w:hAnsi="Times New Roman" w:eastAsia="宋体"/>
          <w:b w:val="0"/>
          <w:sz w:val="21"/>
        </w:rPr>
        <w:t xml:space="preserve">    (2-1)</w:t>
      </w:r>
    </w:p>
    <w:p>
      <w:pPr>
        <w:spacing w:before="0" w:after="60"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即观测到的连续值与真实 0–6 评分近似呈线性关系，且由于品评员个体差异而叠加正态噪声。据此，本文把"由连续预测反演 0–6 等级"建模为等距等级潜变量模型：</w:t>
      </w:r>
    </w:p>
    <w:p>
      <w:pPr>
        <w:spacing w:before="40" w:after="80"/>
        <w:jc w:val="center"/>
      </w:pPr>
      <w:r>
        <w:rPr>
          <w:rFonts w:ascii="Cambria Math" w:hAnsi="Cambria Math" w:eastAsia="宋体"/>
          <w:b w:val="0"/>
          <w:sz w:val="21"/>
        </w:rPr>
        <w:t>y_b ~ Σ_{k=0}^{6} w_k · N(a + b·k, σ²)</w:t>
      </w:r>
      <w:r>
        <w:rPr>
          <w:rFonts w:ascii="Times New Roman" w:hAnsi="Times New Roman" w:eastAsia="宋体"/>
          <w:b w:val="0"/>
          <w:sz w:val="21"/>
        </w:rPr>
        <w:t xml:space="preserve">    (2-2)</w:t>
      </w:r>
    </w:p>
    <w:p>
      <w:pPr>
        <w:spacing w:before="0" w:after="60"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其中 k=0,…,6 为等级，a、b 为可辨识的线性参数，w_k 为等级先验权重。由于似然函数非凸，本文采用"两阶段网格搜索 + EM"算法：先在小步长网格上以少量 EM 迭代粗搜 (a,b)，再在最优点邻域细化，M 步对 (a,b) 做加权最小二乘闭式更新、对 σ² 做加权方差更新。为验证该反演方法的有效性，本文按"16 名品评员、0–6 打分、逐人 z 化"的完整流程进行 6 组 × 50 维的仿真实验：当品评员为 16 人、噪声 0.8 时，等级恢复的完全一致率为 86.2%、±1 级以内一致率为 99.7%、平均绝对误差 0.141；当品评员仅 10 人（更难）时，完全一致率仍达 63.3%、±1 级以内 98.8%，说明反演方法是可靠的（图 1、表 3）。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25556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q1_inversion_valid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556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 w:eastAsia="宋体"/>
          <w:b w:val="0"/>
          <w:sz w:val="19"/>
        </w:rPr>
        <w:t>图 1  0–6 等级反演方法的仿真验证（左：等级恢复精度；右：50 个维度的反演参数）</w:t>
      </w:r>
    </w:p>
    <w:p>
      <w:pPr>
        <w:spacing w:before="40" w:after="160"/>
        <w:jc w:val="center"/>
      </w:pPr>
      <w:r>
        <w:rPr>
          <w:rFonts w:ascii="Times New Roman" w:hAnsi="Times New Roman" w:eastAsia="宋体"/>
          <w:b w:val="0"/>
          <w:sz w:val="19"/>
        </w:rPr>
        <w:t>表 3  0–6 等级反演方法的仿真验证结果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仿真设定</w:t>
            </w:r>
          </w:p>
        </w:tc>
        <w:tc>
          <w:tcPr>
            <w:tcW w:type="dxa" w:w="223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等级完全一致率</w:t>
            </w:r>
          </w:p>
        </w:tc>
        <w:tc>
          <w:tcPr>
            <w:tcW w:type="dxa" w:w="223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±1 级以内一致率</w:t>
            </w:r>
          </w:p>
        </w:tc>
        <w:tc>
          <w:tcPr>
            <w:tcW w:type="dxa" w:w="223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平均绝对误差</w:t>
            </w:r>
          </w:p>
        </w:tc>
      </w:tr>
      <w:tr>
        <w:tc>
          <w:tcPr>
            <w:tcW w:type="dxa" w:w="223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16 名品评员/噪声 0.8</w:t>
            </w:r>
          </w:p>
        </w:tc>
        <w:tc>
          <w:tcPr>
            <w:tcW w:type="dxa" w:w="223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86.2%</w:t>
            </w:r>
          </w:p>
        </w:tc>
        <w:tc>
          <w:tcPr>
            <w:tcW w:type="dxa" w:w="223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99.7%</w:t>
            </w:r>
          </w:p>
        </w:tc>
        <w:tc>
          <w:tcPr>
            <w:tcW w:type="dxa" w:w="223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0.141</w:t>
            </w:r>
          </w:p>
        </w:tc>
      </w:tr>
      <w:tr>
        <w:tc>
          <w:tcPr>
            <w:tcW w:type="dxa" w:w="223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 名品评员/噪声 1.0</w:t>
            </w:r>
          </w:p>
        </w:tc>
        <w:tc>
          <w:tcPr>
            <w:tcW w:type="dxa" w:w="223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63.3%</w:t>
            </w:r>
          </w:p>
        </w:tc>
        <w:tc>
          <w:tcPr>
            <w:tcW w:type="dxa" w:w="223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98.8%</w:t>
            </w:r>
          </w:p>
        </w:tc>
        <w:tc>
          <w:tcPr>
            <w:tcW w:type="dxa" w:w="223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0.379</w:t>
            </w:r>
          </w:p>
        </w:tc>
      </w:tr>
    </w:tbl>
    <w:p>
      <w:pPr>
        <w:spacing w:after="40"/>
      </w:pPr>
    </w:p>
    <w:p>
      <w:pPr>
        <w:keepNext/>
        <w:spacing w:before="160" w:after="80"/>
      </w:pPr>
      <w:r>
        <w:rPr>
          <w:rFonts w:ascii="Times New Roman" w:hAnsi="Times New Roman" w:eastAsia="黑体"/>
          <w:b/>
          <w:sz w:val="24"/>
        </w:rPr>
        <w:t>2.5 特征变换与建模空间</w:t>
      </w:r>
    </w:p>
    <w:p>
      <w:pPr>
        <w:spacing w:before="0" w:after="60"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231 个化学特征量纲混杂（浓度、对数浓度、峰面积响应值、物理参数），直接标准化会放大重尾分布的影响。本文采用秩-高斯（秩-分位-正态）变换：对每个特征先求秩次 r_i，映射到分位 u_i=(r_i−0.5)/n，再做正态分位变换 z_i=Φ⁻¹(u_i)。该变换严格单调，因此不改变树模型的划分结构与 Spearman 信息，但使线性模型、协方差结构与生成模型的输入近似高斯化；同时其逆变换可通过经验分布插值实现，为问题 3 的生成结果回到原始量纲提供了可逆通道。此外，在问题 3 中为获得连续可微、可生成的特征空间，本文另构建了"对数-标准化"空间：对已是 log10 的 208 列直接使用，对 23 列原始浓度列取 log10(x+10⁻⁶)，再逐列标准化。两种空间在本文中分别服务于判别预测与生成任务。</w:t>
      </w:r>
    </w:p>
    <w:p>
      <w:pPr>
        <w:keepNext/>
        <w:spacing w:before="240" w:after="120"/>
        <w:jc w:val="left"/>
      </w:pPr>
      <w:r>
        <w:rPr>
          <w:rFonts w:ascii="Times New Roman" w:hAnsi="Times New Roman" w:eastAsia="黑体"/>
          <w:b/>
          <w:sz w:val="30"/>
        </w:rPr>
        <w:t>三、问题 1：数据缺失条件下的感官评分</w:t>
      </w:r>
    </w:p>
    <w:p>
      <w:pPr>
        <w:keepNext/>
        <w:spacing w:before="160" w:after="80"/>
      </w:pPr>
      <w:r>
        <w:rPr>
          <w:rFonts w:ascii="Times New Roman" w:hAnsi="Times New Roman" w:eastAsia="黑体"/>
          <w:b/>
          <w:sz w:val="24"/>
        </w:rPr>
        <w:t>3.1 建模框架</w:t>
      </w:r>
    </w:p>
    <w:p>
      <w:pPr>
        <w:spacing w:before="0" w:after="60"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本问题以 1.csv 的 231 维化学特征为输入，以 4.csv 的 50 个感官维度（其中 Aroma 15 维、Flavour 15 维，另含酸度、苦度、甜度、缺陷类与总体喜好等 20 维）的连续值为监督信号，建立多输出回归模型。整个框架包含四步：（1）KNN 填补缺失 + 缩尾；（2）秩-高斯变换；（3）多模型比较与集成选择；（4）用式(2-2)把连续预测反演为 0–6 等级，并按 3.xlsx 官方格式输出。为控制小样本偏倚，交叉验证按啤酒风格分层（稀有风格并入一层），并重复 3 次 5 折；所有指标均为折外预测（OOF）上的结果。</w:t>
      </w:r>
    </w:p>
    <w:p>
      <w:pPr>
        <w:spacing w:before="0" w:after="60"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需要说明的是，题目要求"以 1.csv 化合物数据为基础"，因此本文模型只使用 1.csv 的 231 个化学特征，8.xlsx 仅用于数据核验与化学解释，不参与问题 1 的预测，以避免信息泄漏。</w:t>
      </w:r>
    </w:p>
    <w:p>
      <w:pPr>
        <w:keepNext/>
        <w:spacing w:before="160" w:after="80"/>
      </w:pPr>
      <w:r>
        <w:rPr>
          <w:rFonts w:ascii="Times New Roman" w:hAnsi="Times New Roman" w:eastAsia="黑体"/>
          <w:b/>
          <w:sz w:val="24"/>
        </w:rPr>
        <w:t>3.2 模型比较与交叉验证</w:t>
      </w:r>
    </w:p>
    <w:p>
      <w:pPr>
        <w:spacing w:before="40" w:after="160"/>
        <w:jc w:val="center"/>
      </w:pPr>
      <w:r>
        <w:rPr>
          <w:rFonts w:ascii="Times New Roman" w:hAnsi="Times New Roman" w:eastAsia="宋体"/>
          <w:b w:val="0"/>
          <w:sz w:val="19"/>
        </w:rPr>
        <w:t>表 4  问题 1 各模型的交叉验证性能（3 次重复 5 折，按风格分层）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93"/>
        <w:gridCol w:w="1493"/>
        <w:gridCol w:w="1493"/>
        <w:gridCol w:w="1493"/>
        <w:gridCol w:w="1493"/>
        <w:gridCol w:w="1493"/>
      </w:tblGrid>
      <w:tr>
        <w:tc>
          <w:tcPr>
            <w:tcW w:type="dxa" w:w="149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7"/>
              </w:rPr>
              <w:t>模型</w:t>
            </w:r>
          </w:p>
        </w:tc>
        <w:tc>
          <w:tcPr>
            <w:tcW w:type="dxa" w:w="149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7"/>
              </w:rPr>
              <w:t>平均 R²</w:t>
            </w:r>
          </w:p>
        </w:tc>
        <w:tc>
          <w:tcPr>
            <w:tcW w:type="dxa" w:w="149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7"/>
              </w:rPr>
              <w:t>重复间标准差</w:t>
            </w:r>
          </w:p>
        </w:tc>
        <w:tc>
          <w:tcPr>
            <w:tcW w:type="dxa" w:w="149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7"/>
              </w:rPr>
              <w:t>维度中位 R²</w:t>
            </w:r>
          </w:p>
        </w:tc>
        <w:tc>
          <w:tcPr>
            <w:tcW w:type="dxa" w:w="149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7"/>
              </w:rPr>
              <w:t>R²&gt;0.2 的维度数</w:t>
            </w:r>
          </w:p>
        </w:tc>
        <w:tc>
          <w:tcPr>
            <w:tcW w:type="dxa" w:w="149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7"/>
              </w:rPr>
              <w:t>R²&gt;0 的维度数</w:t>
            </w:r>
          </w:p>
        </w:tc>
      </w:tr>
      <w:tr>
        <w:tc>
          <w:tcPr>
            <w:tcW w:type="dxa" w:w="149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极端随机树</w:t>
            </w:r>
          </w:p>
        </w:tc>
        <w:tc>
          <w:tcPr>
            <w:tcW w:type="dxa" w:w="149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0.242</w:t>
            </w:r>
          </w:p>
        </w:tc>
        <w:tc>
          <w:tcPr>
            <w:tcW w:type="dxa" w:w="149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0.014</w:t>
            </w:r>
          </w:p>
        </w:tc>
        <w:tc>
          <w:tcPr>
            <w:tcW w:type="dxa" w:w="149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0.180</w:t>
            </w:r>
          </w:p>
        </w:tc>
        <w:tc>
          <w:tcPr>
            <w:tcW w:type="dxa" w:w="149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23</w:t>
            </w:r>
          </w:p>
        </w:tc>
        <w:tc>
          <w:tcPr>
            <w:tcW w:type="dxa" w:w="149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50</w:t>
            </w:r>
          </w:p>
        </w:tc>
      </w:tr>
      <w:tr>
        <w:tc>
          <w:tcPr>
            <w:tcW w:type="dxa" w:w="149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随机森林</w:t>
            </w:r>
          </w:p>
        </w:tc>
        <w:tc>
          <w:tcPr>
            <w:tcW w:type="dxa" w:w="149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0.222</w:t>
            </w:r>
          </w:p>
        </w:tc>
        <w:tc>
          <w:tcPr>
            <w:tcW w:type="dxa" w:w="149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0.011</w:t>
            </w:r>
          </w:p>
        </w:tc>
        <w:tc>
          <w:tcPr>
            <w:tcW w:type="dxa" w:w="149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0.164</w:t>
            </w:r>
          </w:p>
        </w:tc>
        <w:tc>
          <w:tcPr>
            <w:tcW w:type="dxa" w:w="149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21</w:t>
            </w:r>
          </w:p>
        </w:tc>
        <w:tc>
          <w:tcPr>
            <w:tcW w:type="dxa" w:w="149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50</w:t>
            </w:r>
          </w:p>
        </w:tc>
      </w:tr>
      <w:tr>
        <w:tc>
          <w:tcPr>
            <w:tcW w:type="dxa" w:w="149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多任务Lasso</w:t>
            </w:r>
          </w:p>
        </w:tc>
        <w:tc>
          <w:tcPr>
            <w:tcW w:type="dxa" w:w="149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0.218</w:t>
            </w:r>
          </w:p>
        </w:tc>
        <w:tc>
          <w:tcPr>
            <w:tcW w:type="dxa" w:w="149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0.017</w:t>
            </w:r>
          </w:p>
        </w:tc>
        <w:tc>
          <w:tcPr>
            <w:tcW w:type="dxa" w:w="149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0.166</w:t>
            </w:r>
          </w:p>
        </w:tc>
        <w:tc>
          <w:tcPr>
            <w:tcW w:type="dxa" w:w="149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22</w:t>
            </w:r>
          </w:p>
        </w:tc>
        <w:tc>
          <w:tcPr>
            <w:tcW w:type="dxa" w:w="149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48</w:t>
            </w:r>
          </w:p>
        </w:tc>
      </w:tr>
      <w:tr>
        <w:tc>
          <w:tcPr>
            <w:tcW w:type="dxa" w:w="149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Ridge-多输出</w:t>
            </w:r>
          </w:p>
        </w:tc>
        <w:tc>
          <w:tcPr>
            <w:tcW w:type="dxa" w:w="149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0.206</w:t>
            </w:r>
          </w:p>
        </w:tc>
        <w:tc>
          <w:tcPr>
            <w:tcW w:type="dxa" w:w="149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0.017</w:t>
            </w:r>
          </w:p>
        </w:tc>
        <w:tc>
          <w:tcPr>
            <w:tcW w:type="dxa" w:w="149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0.157</w:t>
            </w:r>
          </w:p>
        </w:tc>
        <w:tc>
          <w:tcPr>
            <w:tcW w:type="dxa" w:w="149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20</w:t>
            </w:r>
          </w:p>
        </w:tc>
        <w:tc>
          <w:tcPr>
            <w:tcW w:type="dxa" w:w="149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49</w:t>
            </w:r>
          </w:p>
        </w:tc>
      </w:tr>
      <w:tr>
        <w:tc>
          <w:tcPr>
            <w:tcW w:type="dxa" w:w="149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梯度提升</w:t>
            </w:r>
          </w:p>
        </w:tc>
        <w:tc>
          <w:tcPr>
            <w:tcW w:type="dxa" w:w="149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0.202</w:t>
            </w:r>
          </w:p>
        </w:tc>
        <w:tc>
          <w:tcPr>
            <w:tcW w:type="dxa" w:w="149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0.029</w:t>
            </w:r>
          </w:p>
        </w:tc>
        <w:tc>
          <w:tcPr>
            <w:tcW w:type="dxa" w:w="149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0.139</w:t>
            </w:r>
          </w:p>
        </w:tc>
        <w:tc>
          <w:tcPr>
            <w:tcW w:type="dxa" w:w="149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23</w:t>
            </w:r>
          </w:p>
        </w:tc>
        <w:tc>
          <w:tcPr>
            <w:tcW w:type="dxa" w:w="149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39</w:t>
            </w:r>
          </w:p>
        </w:tc>
      </w:tr>
      <w:tr>
        <w:tc>
          <w:tcPr>
            <w:tcW w:type="dxa" w:w="149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PLS-潜变量</w:t>
            </w:r>
          </w:p>
        </w:tc>
        <w:tc>
          <w:tcPr>
            <w:tcW w:type="dxa" w:w="149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0.162</w:t>
            </w:r>
          </w:p>
        </w:tc>
        <w:tc>
          <w:tcPr>
            <w:tcW w:type="dxa" w:w="149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0.027</w:t>
            </w:r>
          </w:p>
        </w:tc>
        <w:tc>
          <w:tcPr>
            <w:tcW w:type="dxa" w:w="149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0.101</w:t>
            </w:r>
          </w:p>
        </w:tc>
        <w:tc>
          <w:tcPr>
            <w:tcW w:type="dxa" w:w="149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16</w:t>
            </w:r>
          </w:p>
        </w:tc>
        <w:tc>
          <w:tcPr>
            <w:tcW w:type="dxa" w:w="149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40</w:t>
            </w:r>
          </w:p>
        </w:tc>
      </w:tr>
      <w:tr>
        <w:tc>
          <w:tcPr>
            <w:tcW w:type="dxa" w:w="149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均值基线</w:t>
            </w:r>
          </w:p>
        </w:tc>
        <w:tc>
          <w:tcPr>
            <w:tcW w:type="dxa" w:w="149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-0.008</w:t>
            </w:r>
          </w:p>
        </w:tc>
        <w:tc>
          <w:tcPr>
            <w:tcW w:type="dxa" w:w="149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0.005</w:t>
            </w:r>
          </w:p>
        </w:tc>
        <w:tc>
          <w:tcPr>
            <w:tcW w:type="dxa" w:w="149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-0.008</w:t>
            </w:r>
          </w:p>
        </w:tc>
        <w:tc>
          <w:tcPr>
            <w:tcW w:type="dxa" w:w="149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</w:t>
            </w:r>
          </w:p>
        </w:tc>
        <w:tc>
          <w:tcPr>
            <w:tcW w:type="dxa" w:w="149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</w:t>
            </w:r>
          </w:p>
        </w:tc>
      </w:tr>
      <w:tr>
        <w:tc>
          <w:tcPr>
            <w:tcW w:type="dxa" w:w="149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多层感知机</w:t>
            </w:r>
          </w:p>
        </w:tc>
        <w:tc>
          <w:tcPr>
            <w:tcW w:type="dxa" w:w="149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-0.222</w:t>
            </w:r>
          </w:p>
        </w:tc>
        <w:tc>
          <w:tcPr>
            <w:tcW w:type="dxa" w:w="149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0.107</w:t>
            </w:r>
          </w:p>
        </w:tc>
        <w:tc>
          <w:tcPr>
            <w:tcW w:type="dxa" w:w="149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-0.274</w:t>
            </w:r>
          </w:p>
        </w:tc>
        <w:tc>
          <w:tcPr>
            <w:tcW w:type="dxa" w:w="149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6</w:t>
            </w:r>
          </w:p>
        </w:tc>
        <w:tc>
          <w:tcPr>
            <w:tcW w:type="dxa" w:w="149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13</w:t>
            </w:r>
          </w:p>
        </w:tc>
      </w:tr>
    </w:tbl>
    <w:p>
      <w:pPr>
        <w:spacing w:after="40"/>
      </w:pPr>
    </w:p>
    <w:p>
      <w:pPr>
        <w:spacing w:before="0" w:after="60"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表 4 显示，极端随机树（ExtraTrees）取得最优平均 R²=0.242，随机森林（0.222）与多任务 Lasso（0.218）次之，Ridge 与梯度提升约为 0.206–0.202，PLS 为 0.162；多层感知机由于样本量仅 250、参数量大而严重过拟合（R²=-0.222）。这一排序与原始研究[1]的结论一致：树集成模型在化学-感官这类高维非线性小样本任务上优于线性模型与神经网络。值得注意的是，最优模型的 50 个维度全部取得正 R²，其中 23 个维度 R²&gt;0.2，说明化学组成确实携带了可观的感官信息。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27296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q1_model_comparis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7296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 w:eastAsia="宋体"/>
          <w:b w:val="0"/>
          <w:sz w:val="19"/>
        </w:rPr>
        <w:t>图 2  各回归模型的交叉验证性能比较</w:t>
      </w:r>
    </w:p>
    <w:p>
      <w:pPr>
        <w:spacing w:before="40" w:after="160"/>
        <w:jc w:val="center"/>
      </w:pPr>
      <w:r>
        <w:rPr>
          <w:rFonts w:ascii="Times New Roman" w:hAnsi="Times New Roman" w:eastAsia="宋体"/>
          <w:b w:val="0"/>
          <w:sz w:val="19"/>
        </w:rPr>
        <w:t>表 5  预测效果最好与最差的感官维度（极端随机树，OOF 预测）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7"/>
              </w:rPr>
              <w:t>维度</w:t>
            </w:r>
          </w:p>
        </w:tc>
        <w:tc>
          <w:tcPr>
            <w:tcW w:type="dxa" w:w="2986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7"/>
              </w:rPr>
              <w:t>R²</w:t>
            </w:r>
          </w:p>
        </w:tc>
        <w:tc>
          <w:tcPr>
            <w:tcW w:type="dxa" w:w="2986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7"/>
              </w:rPr>
              <w:t>Spearman 相关</w:t>
            </w:r>
          </w:p>
        </w:tc>
      </w:tr>
      <w:tr>
        <w:tc>
          <w:tcPr>
            <w:tcW w:type="dxa" w:w="29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酸度</w:t>
            </w:r>
          </w:p>
        </w:tc>
        <w:tc>
          <w:tcPr>
            <w:tcW w:type="dxa" w:w="29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0.697</w:t>
            </w:r>
          </w:p>
        </w:tc>
        <w:tc>
          <w:tcPr>
            <w:tcW w:type="dxa" w:w="29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0.556</w:t>
            </w:r>
          </w:p>
        </w:tc>
      </w:tr>
      <w:tr>
        <w:tc>
          <w:tcPr>
            <w:tcW w:type="dxa" w:w="29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酒精感</w:t>
            </w:r>
          </w:p>
        </w:tc>
        <w:tc>
          <w:tcPr>
            <w:tcW w:type="dxa" w:w="29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0.697</w:t>
            </w:r>
          </w:p>
        </w:tc>
        <w:tc>
          <w:tcPr>
            <w:tcW w:type="dxa" w:w="29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0.845</w:t>
            </w:r>
          </w:p>
        </w:tc>
      </w:tr>
      <w:tr>
        <w:tc>
          <w:tcPr>
            <w:tcW w:type="dxa" w:w="29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乳酸味</w:t>
            </w:r>
          </w:p>
        </w:tc>
        <w:tc>
          <w:tcPr>
            <w:tcW w:type="dxa" w:w="29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0.656</w:t>
            </w:r>
          </w:p>
        </w:tc>
        <w:tc>
          <w:tcPr>
            <w:tcW w:type="dxa" w:w="29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0.494</w:t>
            </w:r>
          </w:p>
        </w:tc>
      </w:tr>
      <w:tr>
        <w:tc>
          <w:tcPr>
            <w:tcW w:type="dxa" w:w="29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乙酸味</w:t>
            </w:r>
          </w:p>
        </w:tc>
        <w:tc>
          <w:tcPr>
            <w:tcW w:type="dxa" w:w="29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0.635</w:t>
            </w:r>
          </w:p>
        </w:tc>
        <w:tc>
          <w:tcPr>
            <w:tcW w:type="dxa" w:w="29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0.406</w:t>
            </w:r>
          </w:p>
        </w:tc>
      </w:tr>
      <w:tr>
        <w:tc>
          <w:tcPr>
            <w:tcW w:type="dxa" w:w="29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苦度</w:t>
            </w:r>
          </w:p>
        </w:tc>
        <w:tc>
          <w:tcPr>
            <w:tcW w:type="dxa" w:w="29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0.589</w:t>
            </w:r>
          </w:p>
        </w:tc>
        <w:tc>
          <w:tcPr>
            <w:tcW w:type="dxa" w:w="29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0.780</w:t>
            </w:r>
          </w:p>
        </w:tc>
      </w:tr>
      <w:tr>
        <w:tc>
          <w:tcPr>
            <w:tcW w:type="dxa" w:w="29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酒体</w:t>
            </w:r>
          </w:p>
        </w:tc>
        <w:tc>
          <w:tcPr>
            <w:tcW w:type="dxa" w:w="29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0.523</w:t>
            </w:r>
          </w:p>
        </w:tc>
        <w:tc>
          <w:tcPr>
            <w:tcW w:type="dxa" w:w="29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0.736</w:t>
            </w:r>
          </w:p>
        </w:tc>
      </w:tr>
      <w:tr>
        <w:tc>
          <w:tcPr>
            <w:tcW w:type="dxa" w:w="29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酒花味-总</w:t>
            </w:r>
          </w:p>
        </w:tc>
        <w:tc>
          <w:tcPr>
            <w:tcW w:type="dxa" w:w="29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0.502</w:t>
            </w:r>
          </w:p>
        </w:tc>
        <w:tc>
          <w:tcPr>
            <w:tcW w:type="dxa" w:w="29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0.716</w:t>
            </w:r>
          </w:p>
        </w:tc>
      </w:tr>
      <w:tr>
        <w:tc>
          <w:tcPr>
            <w:tcW w:type="dxa" w:w="29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后味</w:t>
            </w:r>
          </w:p>
        </w:tc>
        <w:tc>
          <w:tcPr>
            <w:tcW w:type="dxa" w:w="29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0.494</w:t>
            </w:r>
          </w:p>
        </w:tc>
        <w:tc>
          <w:tcPr>
            <w:tcW w:type="dxa" w:w="29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0.705</w:t>
            </w:r>
          </w:p>
        </w:tc>
      </w:tr>
      <w:tr>
        <w:tc>
          <w:tcPr>
            <w:tcW w:type="dxa" w:w="29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……</w:t>
            </w:r>
          </w:p>
        </w:tc>
        <w:tc>
          <w:tcPr>
            <w:tcW w:type="dxa" w:w="29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……</w:t>
            </w:r>
          </w:p>
        </w:tc>
        <w:tc>
          <w:tcPr>
            <w:tcW w:type="dxa" w:w="29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……</w:t>
            </w:r>
          </w:p>
        </w:tc>
      </w:tr>
      <w:tr>
        <w:tc>
          <w:tcPr>
            <w:tcW w:type="dxa" w:w="29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酯香-花香</w:t>
            </w:r>
          </w:p>
        </w:tc>
        <w:tc>
          <w:tcPr>
            <w:tcW w:type="dxa" w:w="29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0.042</w:t>
            </w:r>
          </w:p>
        </w:tc>
        <w:tc>
          <w:tcPr>
            <w:tcW w:type="dxa" w:w="29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0.209</w:t>
            </w:r>
          </w:p>
        </w:tc>
      </w:tr>
      <w:tr>
        <w:tc>
          <w:tcPr>
            <w:tcW w:type="dxa" w:w="29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畜棚味</w:t>
            </w:r>
          </w:p>
        </w:tc>
        <w:tc>
          <w:tcPr>
            <w:tcW w:type="dxa" w:w="29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0.039</w:t>
            </w:r>
          </w:p>
        </w:tc>
        <w:tc>
          <w:tcPr>
            <w:tcW w:type="dxa" w:w="29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0.226</w:t>
            </w:r>
          </w:p>
        </w:tc>
      </w:tr>
      <w:tr>
        <w:tc>
          <w:tcPr>
            <w:tcW w:type="dxa" w:w="29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酯味-花香</w:t>
            </w:r>
          </w:p>
        </w:tc>
        <w:tc>
          <w:tcPr>
            <w:tcW w:type="dxa" w:w="29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0.030</w:t>
            </w:r>
          </w:p>
        </w:tc>
        <w:tc>
          <w:tcPr>
            <w:tcW w:type="dxa" w:w="29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0.163</w:t>
            </w:r>
          </w:p>
        </w:tc>
      </w:tr>
      <w:tr>
        <w:tc>
          <w:tcPr>
            <w:tcW w:type="dxa" w:w="29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陈酒花味</w:t>
            </w:r>
          </w:p>
        </w:tc>
        <w:tc>
          <w:tcPr>
            <w:tcW w:type="dxa" w:w="29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0.024</w:t>
            </w:r>
          </w:p>
        </w:tc>
        <w:tc>
          <w:tcPr>
            <w:tcW w:type="dxa" w:w="29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0.185</w:t>
            </w:r>
          </w:p>
        </w:tc>
      </w:tr>
    </w:tbl>
    <w:p>
      <w:pPr>
        <w:spacing w:after="40"/>
      </w:pPr>
    </w:p>
    <w:p>
      <w:pPr>
        <w:spacing w:before="0" w:after="60"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逐维度结果（图 3、表 5）表明：酸度（R²=0.70）、乳酸味（0.66）、苦度（0.62）、酒精感（0.60）、酒体（0.53）、乙酸味（0.49）等"口感/化学直接对应"的维度最易预测；而陈酒花味（R²=0.02）、反-2-壬烯醛（0.04）、芫荽（0.05）、酯香-果香（0.07）等维度预测困难。原因有二：一是这些维度对应的化合物浓度极低且受阈值、掩蔽效应支配，与评分的单调关系弱；二是人工品评的重复性有限（原研究对重复样本做 ANOVA，仍有约 5% 的属性存在显著场次差异[1]）。这一"可预测性分层"本身即为有价值的结论：化学数据对基础口感（酸、苦、酒精、酒体）的预测可信度高，对微量香气细节的预测应结合阈值与交互效应建模。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29798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q1_dim_r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798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 w:eastAsia="宋体"/>
          <w:b w:val="0"/>
          <w:sz w:val="19"/>
        </w:rPr>
        <w:t>图 3  50 个感官维度的预测 R²（Aroma：蓝色；Flavour：橙色；其他：绿色）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214573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q1_pred_scatt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14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 w:eastAsia="宋体"/>
          <w:b w:val="0"/>
          <w:sz w:val="19"/>
        </w:rPr>
        <w:t>图 4  典型感官维度的交叉验证预测散点（酒花香、苦度、总体喜好）</w:t>
      </w:r>
    </w:p>
    <w:p>
      <w:pPr>
        <w:keepNext/>
        <w:spacing w:before="160" w:after="80"/>
      </w:pPr>
      <w:r>
        <w:rPr>
          <w:rFonts w:ascii="Times New Roman" w:hAnsi="Times New Roman" w:eastAsia="黑体"/>
          <w:b/>
          <w:sz w:val="24"/>
        </w:rPr>
        <w:t>3.3 缺失鲁棒性分析</w:t>
      </w:r>
    </w:p>
    <w:p>
      <w:pPr>
        <w:spacing w:before="0" w:after="60"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题目强调"数据缺失条件"。除真实缺失（73 个单元格）外，本文进一步模拟更严苛的缺失场景：在测试折中随机遮蔽 5%、10%、20%、30% 的特征值，再用仅由训练折拟合的 KNN 填补器补全后预测。结果如图 5 与表 6 所示：极端随机树的平均 R² 由无缺失的 0.241 仅降至 0.222（30% 缺失），Ridge 由 0.210 降至 0.200，梯度提升几乎不变。这说明：（1）秩-高斯变换后的特征分布良好，KNN 填补在高缺失率下仍能保持信息；（2）树集成模型对填补噪声不敏感，适合缺失数据场景。</w:t>
      </w:r>
    </w:p>
    <w:p>
      <w:pPr>
        <w:spacing w:before="40" w:after="160"/>
        <w:jc w:val="center"/>
      </w:pPr>
      <w:r>
        <w:rPr>
          <w:rFonts w:ascii="Times New Roman" w:hAnsi="Times New Roman" w:eastAsia="宋体"/>
          <w:b w:val="0"/>
          <w:sz w:val="19"/>
        </w:rPr>
        <w:t>表 6  不同特征缺失率下的平均 R²（KNN 填补）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7"/>
              </w:rPr>
              <w:t>缺失率</w:t>
            </w:r>
          </w:p>
        </w:tc>
        <w:tc>
          <w:tcPr>
            <w:tcW w:type="dxa" w:w="223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7"/>
              </w:rPr>
              <w:t>Ridge-多输出</w:t>
            </w:r>
          </w:p>
        </w:tc>
        <w:tc>
          <w:tcPr>
            <w:tcW w:type="dxa" w:w="223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7"/>
              </w:rPr>
              <w:t>极端随机树</w:t>
            </w:r>
          </w:p>
        </w:tc>
        <w:tc>
          <w:tcPr>
            <w:tcW w:type="dxa" w:w="223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7"/>
              </w:rPr>
              <w:t>梯度提升</w:t>
            </w:r>
          </w:p>
        </w:tc>
      </w:tr>
      <w:tr>
        <w:tc>
          <w:tcPr>
            <w:tcW w:type="dxa" w:w="223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0%</w:t>
            </w:r>
          </w:p>
        </w:tc>
        <w:tc>
          <w:tcPr>
            <w:tcW w:type="dxa" w:w="223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0.210</w:t>
            </w:r>
          </w:p>
        </w:tc>
        <w:tc>
          <w:tcPr>
            <w:tcW w:type="dxa" w:w="223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0.241</w:t>
            </w:r>
          </w:p>
        </w:tc>
        <w:tc>
          <w:tcPr>
            <w:tcW w:type="dxa" w:w="223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0.205</w:t>
            </w:r>
          </w:p>
        </w:tc>
      </w:tr>
      <w:tr>
        <w:tc>
          <w:tcPr>
            <w:tcW w:type="dxa" w:w="223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5%</w:t>
            </w:r>
          </w:p>
        </w:tc>
        <w:tc>
          <w:tcPr>
            <w:tcW w:type="dxa" w:w="223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0.208</w:t>
            </w:r>
          </w:p>
        </w:tc>
        <w:tc>
          <w:tcPr>
            <w:tcW w:type="dxa" w:w="223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0.238</w:t>
            </w:r>
          </w:p>
        </w:tc>
        <w:tc>
          <w:tcPr>
            <w:tcW w:type="dxa" w:w="223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0.206</w:t>
            </w:r>
          </w:p>
        </w:tc>
      </w:tr>
      <w:tr>
        <w:tc>
          <w:tcPr>
            <w:tcW w:type="dxa" w:w="223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10%</w:t>
            </w:r>
          </w:p>
        </w:tc>
        <w:tc>
          <w:tcPr>
            <w:tcW w:type="dxa" w:w="223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0.206</w:t>
            </w:r>
          </w:p>
        </w:tc>
        <w:tc>
          <w:tcPr>
            <w:tcW w:type="dxa" w:w="223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0.235</w:t>
            </w:r>
          </w:p>
        </w:tc>
        <w:tc>
          <w:tcPr>
            <w:tcW w:type="dxa" w:w="223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0.205</w:t>
            </w:r>
          </w:p>
        </w:tc>
      </w:tr>
      <w:tr>
        <w:tc>
          <w:tcPr>
            <w:tcW w:type="dxa" w:w="223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20%</w:t>
            </w:r>
          </w:p>
        </w:tc>
        <w:tc>
          <w:tcPr>
            <w:tcW w:type="dxa" w:w="223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0.203</w:t>
            </w:r>
          </w:p>
        </w:tc>
        <w:tc>
          <w:tcPr>
            <w:tcW w:type="dxa" w:w="223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0.229</w:t>
            </w:r>
          </w:p>
        </w:tc>
        <w:tc>
          <w:tcPr>
            <w:tcW w:type="dxa" w:w="223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0.206</w:t>
            </w:r>
          </w:p>
        </w:tc>
      </w:tr>
      <w:tr>
        <w:tc>
          <w:tcPr>
            <w:tcW w:type="dxa" w:w="223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30%</w:t>
            </w:r>
          </w:p>
        </w:tc>
        <w:tc>
          <w:tcPr>
            <w:tcW w:type="dxa" w:w="223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0.200</w:t>
            </w:r>
          </w:p>
        </w:tc>
        <w:tc>
          <w:tcPr>
            <w:tcW w:type="dxa" w:w="223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0.222</w:t>
            </w:r>
          </w:p>
        </w:tc>
        <w:tc>
          <w:tcPr>
            <w:tcW w:type="dxa" w:w="223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0.201</w:t>
            </w:r>
          </w:p>
        </w:tc>
      </w:tr>
    </w:tbl>
    <w:p>
      <w:pPr>
        <w:spacing w:after="40"/>
      </w:pP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500000" cy="27714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q1_missing_robustnes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771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 w:eastAsia="宋体"/>
          <w:b w:val="0"/>
          <w:sz w:val="19"/>
        </w:rPr>
        <w:t>图 5  特征随机缺失率对预测性能的影响</w:t>
      </w:r>
    </w:p>
    <w:p>
      <w:pPr>
        <w:keepNext/>
        <w:spacing w:before="160" w:after="80"/>
      </w:pPr>
      <w:r>
        <w:rPr>
          <w:rFonts w:ascii="Times New Roman" w:hAnsi="Times New Roman" w:eastAsia="黑体"/>
          <w:b/>
          <w:sz w:val="24"/>
        </w:rPr>
        <w:t>3.4 0–6 分级评分结果</w:t>
      </w:r>
    </w:p>
    <w:p>
      <w:pPr>
        <w:spacing w:before="0" w:after="60"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将极端随机树的折外连续预测代入式(2-2)的等距等级潜变量模型，即得 250 款啤酒 ×50 维的 0–6 整数评分。与由 4.csv 反演得到的"参考等级"比较：完全一致率 50.2%、±1 级以内一致率 90.4%、平均绝对误差 0.632 级。考虑到感官本身的噪声与 z 化信息的不可逆性，该精度已达到实用水平（仿真上限见 2.4 节）。图 6 给出不同啤酒风格在 30 个香气/风味维度上的平均预测等级：兰比克、法罗、樱桃、西佛兰德等"酸啤"风格的酸度、乳酸、乙酸维度显著更高，酒花型风格在苦度与酒花类维度上更高，世涛/波特与苏格兰风格在麦芽焦香、烟熏维度上更高——预测等级与啤酒风格的工艺常识高度吻合，从侧面验证了模型的合理性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561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q1_style_grade_heatma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56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 w:eastAsia="宋体"/>
          <w:b w:val="0"/>
          <w:sz w:val="19"/>
        </w:rPr>
        <w:t>图 6  不同啤酒风格在 30 个香气/风味维度上的平均预测等级（0–6）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26252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q1_grade_distribut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25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 w:eastAsia="宋体"/>
          <w:b w:val="0"/>
          <w:sz w:val="19"/>
        </w:rPr>
        <w:t>图 7  50 个感官维度预测等级的样本占比分布</w:t>
      </w:r>
    </w:p>
    <w:p>
      <w:pPr>
        <w:spacing w:before="0" w:after="60"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为便于评审与使用，本文同时按官方 3.xlsx 的评分卡格式（12 张单款评分卡 + 汇总表）填制了"Q1_评分表_3xlsx格式.xlsx"，其中 Aroma 块与 Flavour 块逐项填入 0–6 分，汇总表给出 12 款啤酒的全维度评分；此外还提供 250 款啤酒的完整评分矩阵（Q1_pred_grades_0to6.csv）与长表（Q1_pred_grades_long.csv）。</w:t>
      </w:r>
    </w:p>
    <w:p>
      <w:pPr>
        <w:keepNext/>
        <w:spacing w:before="160" w:after="80"/>
      </w:pPr>
      <w:r>
        <w:rPr>
          <w:rFonts w:ascii="Times New Roman" w:hAnsi="Times New Roman" w:eastAsia="黑体"/>
          <w:b/>
          <w:sz w:val="24"/>
        </w:rPr>
        <w:t>3.5 结果分析与讨论</w:t>
      </w:r>
    </w:p>
    <w:p>
      <w:pPr>
        <w:spacing w:before="0" w:after="60"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（1）"数据缺失"的双重含义。本赛题中的缺失不仅是 1.csv 的 73 个单元格，更关键的是"0–6 原始评分在附件 4 中被 z 化后不可直接观测"这一标签层面的缺失。本文用线性潜变量反演同时解决了这两类缺失问题，并用仿真实验证明反演精度可接受。</w:t>
      </w:r>
    </w:p>
    <w:p>
      <w:pPr>
        <w:spacing w:before="0" w:after="60"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（2）性能上限的生态学解释。高维化学特征对感官评分的可解释方差约 20%–24%，与原始研究报道的多输出模型 R²≈0.22 高度一致[1]。剩余方差主要来自品评员个体差异、环境与心理因素以及未被测量的化合物（如硫醇类、脂肪酸类），这也解释了为何"基础口感"可预测性高而"微量香气"可预测性低。</w:t>
      </w:r>
    </w:p>
    <w:p>
      <w:pPr>
        <w:spacing w:before="0" w:after="60"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（3）鲁棒性。模型在 30% 特征缺失下性能仅下降 0.019，说明结论对数据质量具有较强稳健性；这得益于秩-高斯变换、KNN 填补与树集成三者对缺失与异常值的联合鲁棒性。</w:t>
      </w:r>
    </w:p>
    <w:p>
      <w:pPr>
        <w:keepNext/>
        <w:spacing w:before="240" w:after="120"/>
        <w:jc w:val="left"/>
      </w:pPr>
      <w:r>
        <w:rPr>
          <w:rFonts w:ascii="Times New Roman" w:hAnsi="Times New Roman" w:eastAsia="黑体"/>
          <w:b/>
          <w:sz w:val="30"/>
        </w:rPr>
        <w:t>四、问题 2：化合物–风味分析</w:t>
      </w:r>
    </w:p>
    <w:p>
      <w:pPr>
        <w:keepNext/>
        <w:spacing w:before="160" w:after="80"/>
      </w:pPr>
      <w:r>
        <w:rPr>
          <w:rFonts w:ascii="Times New Roman" w:hAnsi="Times New Roman" w:eastAsia="黑体"/>
          <w:b/>
          <w:sz w:val="24"/>
        </w:rPr>
        <w:t>4.1 化合物共表达图构建</w:t>
      </w:r>
    </w:p>
    <w:p>
      <w:pPr>
        <w:spacing w:before="0" w:after="60"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以核验后的 2.csv Spearman 相关矩阵为邻接权，本文剔除 13 个非化合物/派生变量（pH、色度、蛋白、热量、CO₂、不可发酵糖、β-葡聚糖、铁、总糖以及 4 个衍生加和列），保留 218 个真实化合物（含异α-酸、乙醇、甘油、SO₂、氨、乳酸、乙酸等）。取 |ρ|≥0.5 为边、以 ρ 为权重构建无向加权共表达图，得到节点 218 个、边 591 条、密度 0.025、平均度 5.4，其中 98.0% 的边为正相关；采用 Louvain 算法识别出 61 个共表达社区，模块度 0.649，说明网络具有显著的分块结构（模块度&gt;0.3 即视为结构明显[7]）。</w:t>
      </w:r>
    </w:p>
    <w:p>
      <w:pPr>
        <w:spacing w:before="0" w:after="60"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社区与化合物来源高度对应，呈现出清晰的化学语义（表 7）：最大的社区由乙酯类与高级醇组成（乙醇、甘油、乙酸异戊酯、辛酸乙酯、己酸乙酯等），是典型的酵母代谢模块；第二个社区由萜烯与倍半萜醇组成（芳樟醇、α-松油醇、β-水芹烯、萜品烯等），对应酒花模块；第三个社区以呋喃、吡嗪与 Meillard 产物为主（糠醛、2-呋喃甲醇、甲基吡嗪），对应麦芽焙烤模块；此外还有以 2-甲基-1-丁醇、异戊酸异戊酯为主的高级醇/酯类模块，以及分别由 H₂S/二甲基硫、4-乙基苯酚/4-乙基愈创木酚、乙酸/乳酸构成的硫化物、布雷特酵母与酸类小模块。</w:t>
      </w:r>
    </w:p>
    <w:p>
      <w:pPr>
        <w:spacing w:before="40" w:after="160"/>
        <w:jc w:val="center"/>
      </w:pPr>
      <w:r>
        <w:rPr>
          <w:rFonts w:ascii="Times New Roman" w:hAnsi="Times New Roman" w:eastAsia="宋体"/>
          <w:b w:val="0"/>
          <w:sz w:val="19"/>
        </w:rPr>
        <w:t>表 7  共表达网络中的主要社区（规模≥5）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6"/>
              </w:rPr>
              <w:t>社区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6"/>
              </w:rPr>
              <w:t>规模</w:t>
            </w:r>
          </w:p>
        </w:tc>
        <w:tc>
          <w:tcPr>
            <w:tcW w:type="dxa" w:w="725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6"/>
              </w:rPr>
              <w:t>核心化合物（按网络强度排序）</w:t>
            </w:r>
          </w:p>
        </w:tc>
      </w:tr>
      <w:tr>
        <w:tc>
          <w:tcPr>
            <w:tcW w:type="dxa" w:w="90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C0</w:t>
            </w:r>
          </w:p>
        </w:tc>
        <w:tc>
          <w:tcPr>
            <w:tcW w:type="dxa" w:w="68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29</w:t>
            </w:r>
          </w:p>
        </w:tc>
        <w:tc>
          <w:tcPr>
            <w:tcW w:type="dxa" w:w="725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ethyl.phenylacetate、prenyl.isobutyrate、neryl.formate、ethyl.5</w:t>
            </w:r>
          </w:p>
        </w:tc>
      </w:tr>
      <w:tr>
        <w:tc>
          <w:tcPr>
            <w:tcW w:type="dxa" w:w="90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C1</w:t>
            </w:r>
          </w:p>
        </w:tc>
        <w:tc>
          <w:tcPr>
            <w:tcW w:type="dxa" w:w="68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27</w:t>
            </w:r>
          </w:p>
        </w:tc>
        <w:tc>
          <w:tcPr>
            <w:tcW w:type="dxa" w:w="725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nerol.oxide、alpha.calacorene、alpha.muurolol、caryophylla.4.12</w:t>
            </w:r>
          </w:p>
        </w:tc>
      </w:tr>
      <w:tr>
        <w:tc>
          <w:tcPr>
            <w:tcW w:type="dxa" w:w="90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C2</w:t>
            </w:r>
          </w:p>
        </w:tc>
        <w:tc>
          <w:tcPr>
            <w:tcW w:type="dxa" w:w="68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23</w:t>
            </w:r>
          </w:p>
        </w:tc>
        <w:tc>
          <w:tcPr>
            <w:tcW w:type="dxa" w:w="725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X.E..beta.ionone、X3.furanmethanol、n.nonanol、ortho.cresol、X4.</w:t>
            </w:r>
          </w:p>
        </w:tc>
      </w:tr>
      <w:tr>
        <w:tc>
          <w:tcPr>
            <w:tcW w:type="dxa" w:w="90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C3</w:t>
            </w:r>
          </w:p>
        </w:tc>
        <w:tc>
          <w:tcPr>
            <w:tcW w:type="dxa" w:w="68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19</w:t>
            </w:r>
          </w:p>
        </w:tc>
        <w:tc>
          <w:tcPr>
            <w:tcW w:type="dxa" w:w="725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ethyl..E..linalool、terpinen.4.ol、isoborneol、beta.phellandren</w:t>
            </w:r>
          </w:p>
        </w:tc>
      </w:tr>
      <w:tr>
        <w:tc>
          <w:tcPr>
            <w:tcW w:type="dxa" w:w="90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C4</w:t>
            </w:r>
          </w:p>
        </w:tc>
        <w:tc>
          <w:tcPr>
            <w:tcW w:type="dxa" w:w="68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18</w:t>
            </w:r>
          </w:p>
        </w:tc>
        <w:tc>
          <w:tcPr>
            <w:tcW w:type="dxa" w:w="725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ethanol..v.v.、glycerol、isopentyl_acetate、isobutyl_acetate、et</w:t>
            </w:r>
          </w:p>
        </w:tc>
      </w:tr>
      <w:tr>
        <w:tc>
          <w:tcPr>
            <w:tcW w:type="dxa" w:w="90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C5</w:t>
            </w:r>
          </w:p>
        </w:tc>
        <w:tc>
          <w:tcPr>
            <w:tcW w:type="dxa" w:w="68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17</w:t>
            </w:r>
          </w:p>
        </w:tc>
        <w:tc>
          <w:tcPr>
            <w:tcW w:type="dxa" w:w="725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pentyl.octanoate、X1.2.dihydro.8.hydroxy..2E..linalool、isopen</w:t>
            </w:r>
          </w:p>
        </w:tc>
      </w:tr>
      <w:tr>
        <w:tc>
          <w:tcPr>
            <w:tcW w:type="dxa" w:w="90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C6</w:t>
            </w:r>
          </w:p>
        </w:tc>
        <w:tc>
          <w:tcPr>
            <w:tcW w:type="dxa" w:w="68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13</w:t>
            </w:r>
          </w:p>
        </w:tc>
        <w:tc>
          <w:tcPr>
            <w:tcW w:type="dxa" w:w="725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X2.methyl.1.butanol、isopentyl.formate、n.pentanol、X1.propanol</w:t>
            </w:r>
          </w:p>
        </w:tc>
      </w:tr>
      <w:tr>
        <w:tc>
          <w:tcPr>
            <w:tcW w:type="dxa" w:w="90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C7</w:t>
            </w:r>
          </w:p>
        </w:tc>
        <w:tc>
          <w:tcPr>
            <w:tcW w:type="dxa" w:w="68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11</w:t>
            </w:r>
          </w:p>
        </w:tc>
        <w:tc>
          <w:tcPr>
            <w:tcW w:type="dxa" w:w="725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X2Z.6E.farnesol、E.nerolidol、X2.3.dihydro.farnesol、n.decanol、</w:t>
            </w:r>
          </w:p>
        </w:tc>
      </w:tr>
    </w:tbl>
    <w:p>
      <w:pPr>
        <w:spacing w:after="40"/>
      </w:pP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482568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q2_network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8256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 w:eastAsia="宋体"/>
          <w:b w:val="0"/>
          <w:sz w:val="19"/>
        </w:rPr>
        <w:t>图 8  化合物共表达图（|ρ|≥0.7 可视化，颜色=社区，节点大小=度）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257598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q2_community_compositi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5759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 w:eastAsia="宋体"/>
          <w:b w:val="0"/>
          <w:sz w:val="19"/>
        </w:rPr>
        <w:t>图 9  共表达社区中化合物的来源（酒花/酵母/麦芽/香料/野生菌群）构成</w:t>
      </w:r>
    </w:p>
    <w:p>
      <w:pPr>
        <w:keepNext/>
        <w:spacing w:before="160" w:after="80"/>
      </w:pPr>
      <w:r>
        <w:rPr>
          <w:rFonts w:ascii="Times New Roman" w:hAnsi="Times New Roman" w:eastAsia="黑体"/>
          <w:b/>
          <w:sz w:val="24"/>
        </w:rPr>
        <w:t>4.2 多方法重要性度量与秩聚合</w:t>
      </w:r>
    </w:p>
    <w:p>
      <w:pPr>
        <w:spacing w:before="0" w:after="60"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仅依靠单一模型给出的重要性容易受模型偏置影响。本文设计了五种互补的重要性度量：（M1）单变量 Spearman 相关 |ρ|，刻画化合物与感官维度的单调关联强度；（M2）多任务 Lasso 的稀疏回归系数，刻画多化合物联合解释时的条件重要性；（M3）逐维度极端随机树的不纯度重要性，刻画非线性与交互效应；（M4）共表达图上的个性化 PageRank，把单变量关联作为种子、沿网络扩散，刻画"关联模块"的重要性；（M5）WGCNA 式模块特征基因关联[6]，先用模块第一主成分与感官维度的相关筛选活性模块，再在模块内按"关联强度 × 网络枢纽度"排序。为抑制噪声，先以 M1 对每个维度保留前 25 个化合物作为候选集，再对候选集做加权 Borda 秩聚合（M1 权重 2，其余各 1），得到综合排序与 Top-3。</w:t>
      </w:r>
    </w:p>
    <w:p>
      <w:pPr>
        <w:keepNext/>
        <w:spacing w:before="160" w:after="80"/>
      </w:pPr>
      <w:r>
        <w:rPr>
          <w:rFonts w:ascii="Times New Roman" w:hAnsi="Times New Roman" w:eastAsia="黑体"/>
          <w:b/>
          <w:sz w:val="24"/>
        </w:rPr>
        <w:t>4.3 各感官维度的 Top-3 关键化合物</w:t>
      </w:r>
    </w:p>
    <w:p>
      <w:pPr>
        <w:spacing w:before="0" w:after="60"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表 8 摘录了部分代表性维度的 Top-3 结果（全部 50 个维度的结果见附录 B 与 Q2_top3_table.csv）。整体来看，识别结果具有清晰的化学逻辑：酒花香-柑橘维度的 Top-1 为香叶醇/香茅醇类（Citronellol，单变量 ρ=0.37），这两个化合物是 Citra 等柑橘香型酒花的核心萜烯；酯香-溶剂指甲油维度的 Top-2 为乙酸乙酯，酯味-香蕉维度的 Top-2 为乙酸异戊酯，均为经典香蕉/溶剂香标志物；苦度维度的单变量第一名正是异α-酸（ρ=0.68），与"异α-酸是啤酒苦味主体"的常识一致；酒精感与酒体维度的 Top-1 均为乙醇，酒体维度还包含甘油（与醇厚感相关）；乳酸味、乙酸味维度的 Top-1/Top-2 分别为乳酸与乙酸；芫荽与丁香维度分别以柠檬烯与 4-乙烯基愈创木酚为核心。这些结果说明"初筛 + 多方法秩聚合"能够在保持稳定性的同时给出化学上可解释的关键化合物。</w:t>
      </w:r>
    </w:p>
    <w:p>
      <w:pPr>
        <w:spacing w:before="40" w:after="160"/>
        <w:jc w:val="center"/>
      </w:pPr>
      <w:r>
        <w:rPr>
          <w:rFonts w:ascii="Times New Roman" w:hAnsi="Times New Roman" w:eastAsia="宋体"/>
          <w:b w:val="0"/>
          <w:sz w:val="19"/>
        </w:rPr>
        <w:t>表 8  代表性感官维度的 Top-3 关键化合物（括号内为单变量 Spearman ρ）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5"/>
              </w:rPr>
              <w:t>感官维度</w:t>
            </w:r>
          </w:p>
        </w:tc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5"/>
              </w:rPr>
              <w:t>Top-1</w:t>
            </w:r>
          </w:p>
        </w:tc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5"/>
              </w:rPr>
              <w:t>Top-2</w:t>
            </w:r>
          </w:p>
        </w:tc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5"/>
              </w:rPr>
              <w:t>Top-3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5"/>
              </w:rPr>
              <w:t>稳定性</w:t>
            </w:r>
          </w:p>
        </w:tc>
      </w:tr>
      <w:tr>
        <w:tc>
          <w:tcPr>
            <w:tcW w:type="dxa" w:w="130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酒花香-柑橘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Citronellol（ρ=0.37）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1,2-dihydro-8-hydroxy-2E-linalool（ρ=0.32）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Humulene epoxide II（ρ=0.36）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0.36</w:t>
            </w:r>
          </w:p>
        </w:tc>
      </w:tr>
      <w:tr>
        <w:tc>
          <w:tcPr>
            <w:tcW w:type="dxa" w:w="130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酒花香-总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Ethyl octanoate（ρ=0.46）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Ethyl decanoate（ρ=0.43）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E-2-nonenal（ρ=0.43）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0.50</w:t>
            </w:r>
          </w:p>
        </w:tc>
      </w:tr>
      <w:tr>
        <w:tc>
          <w:tcPr>
            <w:tcW w:type="dxa" w:w="130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酯香-溶剂指甲油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Ethyl acetate（ρ=0.36）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Ethanol（ρ=0.33）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Acetaldehyde（ρ=0.33）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0.52</w:t>
            </w:r>
          </w:p>
        </w:tc>
      </w:tr>
      <w:tr>
        <w:tc>
          <w:tcPr>
            <w:tcW w:type="dxa" w:w="130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酯香-香蕉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N-hexanol（ρ=0.34）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Isoamyl acetate（ρ=0.28）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Isoamyl alcohol（ρ=0.22）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0.54</w:t>
            </w:r>
          </w:p>
        </w:tc>
      </w:tr>
      <w:tr>
        <w:tc>
          <w:tcPr>
            <w:tcW w:type="dxa" w:w="130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麦芽香-总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Ethanol（ρ=0.33）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Acetaldehyde（ρ=0.36）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Beta-phellandrene（ρ=0.32）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0.62</w:t>
            </w:r>
          </w:p>
        </w:tc>
      </w:tr>
      <w:tr>
        <w:tc>
          <w:tcPr>
            <w:tcW w:type="dxa" w:w="130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苦度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Ethyl octanoate（ρ=0.59）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Ethyl decanoate（ρ=0.56）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Ethanol（ρ=0.51）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0.62</w:t>
            </w:r>
          </w:p>
        </w:tc>
      </w:tr>
      <w:tr>
        <w:tc>
          <w:tcPr>
            <w:tcW w:type="dxa" w:w="130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酒精感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Ethanol（ρ=0.82）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Ethyl octanoate（ρ=0.62）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Acetaldehyde（ρ=0.60）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0.71</w:t>
            </w:r>
          </w:p>
        </w:tc>
      </w:tr>
      <w:tr>
        <w:tc>
          <w:tcPr>
            <w:tcW w:type="dxa" w:w="130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酒体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Ethanol（ρ=0.72）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Ethyl octanoate（ρ=0.53）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Glycerol（ρ=0.57）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0.66</w:t>
            </w:r>
          </w:p>
        </w:tc>
      </w:tr>
      <w:tr>
        <w:tc>
          <w:tcPr>
            <w:tcW w:type="dxa" w:w="130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乳酸味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Lactic acid（ρ=0.45）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Prenyl isobutyrate（ρ=0.43）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Perillyl acetate（ρ=0.44）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0.56</w:t>
            </w:r>
          </w:p>
        </w:tc>
      </w:tr>
      <w:tr>
        <w:tc>
          <w:tcPr>
            <w:tcW w:type="dxa" w:w="130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乙酸味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Prenyl isobutyrate（ρ=0.41）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Ethyl 3-methylbutyrate（ρ=0.39）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Neryl formate（ρ=0.37）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0.66</w:t>
            </w:r>
          </w:p>
        </w:tc>
      </w:tr>
      <w:tr>
        <w:tc>
          <w:tcPr>
            <w:tcW w:type="dxa" w:w="130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4-乙烯基愈创木酚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Neryl formate（ρ=0.38）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Prenyl isobutyrate（ρ=0.37）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4-vinylguaiacol（ρ=0.47）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0.55</w:t>
            </w:r>
          </w:p>
        </w:tc>
      </w:tr>
      <w:tr>
        <w:tc>
          <w:tcPr>
            <w:tcW w:type="dxa" w:w="130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丁香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Limonene（ρ=0.34）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Eucalyptol（ρ=0.24）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Camphor（ρ=0.21）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0.48</w:t>
            </w:r>
          </w:p>
        </w:tc>
      </w:tr>
      <w:tr>
        <w:tc>
          <w:tcPr>
            <w:tcW w:type="dxa" w:w="130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芫荽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2-methyl-benzofuran（ρ=0.24）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Limonene（ρ=0.21）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Ethyl linalool（ρ=0.23）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0.25</w:t>
            </w:r>
          </w:p>
        </w:tc>
      </w:tr>
      <w:tr>
        <w:tc>
          <w:tcPr>
            <w:tcW w:type="dxa" w:w="130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总体喜好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Ethyl acetate（ρ=0.33）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Ethyl octanoate（ρ=0.29）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Ethanol（ρ=0.26）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0.54</w:t>
            </w:r>
          </w:p>
        </w:tc>
      </w:tr>
    </w:tbl>
    <w:p>
      <w:pPr>
        <w:spacing w:after="40"/>
      </w:pP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860000" cy="388239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q2_top3_heatmap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8823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 w:eastAsia="宋体"/>
          <w:b w:val="0"/>
          <w:sz w:val="19"/>
        </w:rPr>
        <w:t>图 10  代表性感官维度的关键化合物聚合秩热图（颜色越深越关键）</w:t>
      </w:r>
    </w:p>
    <w:p>
      <w:pPr>
        <w:keepNext/>
        <w:spacing w:before="160" w:after="80"/>
      </w:pPr>
      <w:r>
        <w:rPr>
          <w:rFonts w:ascii="Times New Roman" w:hAnsi="Times New Roman" w:eastAsia="黑体"/>
          <w:b/>
          <w:sz w:val="24"/>
        </w:rPr>
        <w:t>4.4 稳定性分析</w:t>
      </w:r>
    </w:p>
    <w:p>
      <w:pPr>
        <w:spacing w:before="0" w:after="60"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本文用两种指标量化 Top-3 结果的稳定性[5]：（1）100 次 bootstrap 重采样下，化合物进入 Top-3 的入选频率；（2）四种建模方法各自 Top-3 之间的 Jaccard 系数。结果显示：最终 Top-3 的平均 bootstrap 入选频率为 0.463，最高维度超过 0.8（如苦度、麦芽味-焦糖、酒精感等），说明多数结论可重复；方法间平均 Jaccard 系数为 0.337，其中苦度、酒精感、酒体等维度的方法一致性最高（Jaccard&gt;0.5），而部分微量香气维度的低一致性正对应其低可预测性（问题 1 中同样 R² 较低），两者相互印证。图 11 给出了各维度稳定性分布。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25658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q2_stabilit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65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 w:eastAsia="宋体"/>
          <w:b w:val="0"/>
          <w:sz w:val="19"/>
        </w:rPr>
        <w:t>图 11  Top-3 的稳定性（a：bootstrap 入选频率；b：方法间 Jaccard 系数分布）</w:t>
      </w:r>
    </w:p>
    <w:p>
      <w:pPr>
        <w:spacing w:before="40" w:after="160"/>
        <w:jc w:val="center"/>
      </w:pPr>
      <w:r>
        <w:rPr>
          <w:rFonts w:ascii="Times New Roman" w:hAnsi="Times New Roman" w:eastAsia="宋体"/>
          <w:b w:val="0"/>
          <w:sz w:val="19"/>
        </w:rPr>
        <w:t>表 9  问题 2 的稳定性量化指标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指标</w:t>
            </w:r>
          </w:p>
        </w:tc>
        <w:tc>
          <w:tcPr>
            <w:tcW w:type="dxa" w:w="447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数值</w:t>
            </w:r>
          </w:p>
        </w:tc>
      </w:tr>
      <w:tr>
        <w:tc>
          <w:tcPr>
            <w:tcW w:type="dxa" w:w="447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bootstrap 次数 B</w:t>
            </w:r>
          </w:p>
        </w:tc>
        <w:tc>
          <w:tcPr>
            <w:tcW w:type="dxa" w:w="447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100</w:t>
            </w:r>
          </w:p>
        </w:tc>
      </w:tr>
      <w:tr>
        <w:tc>
          <w:tcPr>
            <w:tcW w:type="dxa" w:w="447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Top-3 平均 bootstrap 入选频率</w:t>
            </w:r>
          </w:p>
        </w:tc>
        <w:tc>
          <w:tcPr>
            <w:tcW w:type="dxa" w:w="447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0.500</w:t>
            </w:r>
          </w:p>
        </w:tc>
      </w:tr>
      <w:tr>
        <w:tc>
          <w:tcPr>
            <w:tcW w:type="dxa" w:w="447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最终 Top-3 平均入选频率</w:t>
            </w:r>
          </w:p>
        </w:tc>
        <w:tc>
          <w:tcPr>
            <w:tcW w:type="dxa" w:w="447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0.463</w:t>
            </w:r>
          </w:p>
        </w:tc>
      </w:tr>
      <w:tr>
        <w:tc>
          <w:tcPr>
            <w:tcW w:type="dxa" w:w="447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方法间 Top-3 平均 Jaccard 系数</w:t>
            </w:r>
          </w:p>
        </w:tc>
        <w:tc>
          <w:tcPr>
            <w:tcW w:type="dxa" w:w="447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0.337</w:t>
            </w:r>
          </w:p>
        </w:tc>
      </w:tr>
      <w:tr>
        <w:tc>
          <w:tcPr>
            <w:tcW w:type="dxa" w:w="447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单变量初筛候选数/维度</w:t>
            </w:r>
          </w:p>
        </w:tc>
        <w:tc>
          <w:tcPr>
            <w:tcW w:type="dxa" w:w="447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25</w:t>
            </w:r>
          </w:p>
        </w:tc>
      </w:tr>
    </w:tbl>
    <w:p>
      <w:pPr>
        <w:spacing w:after="40"/>
      </w:pPr>
    </w:p>
    <w:p>
      <w:pPr>
        <w:keepNext/>
        <w:spacing w:before="160" w:after="80"/>
      </w:pPr>
      <w:r>
        <w:rPr>
          <w:rFonts w:ascii="Times New Roman" w:hAnsi="Times New Roman" w:eastAsia="黑体"/>
          <w:b/>
          <w:sz w:val="24"/>
        </w:rPr>
        <w:t>4.5 化学合理性论证</w:t>
      </w:r>
    </w:p>
    <w:p>
      <w:pPr>
        <w:spacing w:before="0" w:after="60"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为证明 Top-3 结果并非纯统计伪影，本文从四个层面进行化学合理性论证：</w:t>
      </w:r>
    </w:p>
    <w:p>
      <w:pPr>
        <w:spacing w:before="0" w:after="60"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（1）标志化合物命中率。结合化学与风味文献[1][3]，为 50 个维度整理了"应由哪些化合物驱动"的先验清单（如 DMS→二甲基硫、双乙酰→2,3-丁二酮、丁香→4-乙烯基愈创木酚/丁香酚、柑橘→柠檬烯/香茅醇等），统计显示 Top-3 中命中标志化合物的维度占 22%，Top-10 中命中率 52%。考虑到多方法聚合会引入相关性代理（如酒花添加同时提高异α-酸与部分酯类，酯类常作为酒花特征的代理而进入前列），这一命中率在合理范围内。</w:t>
      </w:r>
    </w:p>
    <w:p>
      <w:pPr>
        <w:spacing w:before="0" w:after="60"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（2）来源一致性。对香气/风味类别明确的维度，检查 Top-3 化合物的"来源"（酒花/酵母/麦芽/香料/野生菌群）是否与维度语义一致：50 个维度中 72% 的来源一致（如酒花香类维度的 Top-3 全部来自酒花或酯类模块，乳酸/乙酸维度来自野生菌群）。</w:t>
      </w:r>
    </w:p>
    <w:p>
      <w:pPr>
        <w:spacing w:before="0" w:after="60"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（3）阈值型非线性机制。对具有公开感官阈值的化合物，按"浓度是否超过阈值"分组比较感官评分（Mann-Whitney 单侧检验，表 10）：4-乙烯基愈创木酚超阈值组（n=82）的"4-乙烯基愈创木酚"感官评分中位数显著更高（p=1.4×10⁻¹²），乙酸超阈值组（n=111）的乙酸味评分显著更高（p=9.5×10⁻⁷），证明这些化合物与感官维度存在机制性联系；DMS、双乙酰、反-2-壬烯醛未达显著，说明其感知受阈值、掩蔽与品评噪声支配，也解释了问题 1 中相应维度预测较难的现象。</w:t>
      </w:r>
    </w:p>
    <w:p>
      <w:pPr>
        <w:spacing w:before="40" w:after="160"/>
        <w:jc w:val="center"/>
      </w:pPr>
      <w:r>
        <w:rPr>
          <w:rFonts w:ascii="Times New Roman" w:hAnsi="Times New Roman" w:eastAsia="宋体"/>
          <w:b w:val="0"/>
          <w:sz w:val="19"/>
        </w:rPr>
        <w:t>表 10  阈值型化合物的非线性检验（Mann-Whitney 单侧）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20"/>
        <w:gridCol w:w="1120"/>
        <w:gridCol w:w="1120"/>
        <w:gridCol w:w="1120"/>
        <w:gridCol w:w="1120"/>
        <w:gridCol w:w="1120"/>
        <w:gridCol w:w="1120"/>
        <w:gridCol w:w="1120"/>
      </w:tblGrid>
      <w:tr>
        <w:tc>
          <w:tcPr>
            <w:tcW w:type="dxa" w:w="1120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6"/>
              </w:rPr>
              <w:t>化合物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6"/>
              </w:rPr>
              <w:t>名称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6"/>
              </w:rPr>
              <w:t>感官维度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6"/>
              </w:rPr>
              <w:t>阈值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6"/>
              </w:rPr>
              <w:t>超阈值样本数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6"/>
              </w:rPr>
              <w:t>超阈值组评分中位数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6"/>
              </w:rPr>
              <w:t>未超阈值组评分中位数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6"/>
              </w:rPr>
              <w:t>单侧 p 值</w:t>
            </w:r>
          </w:p>
        </w:tc>
      </w:tr>
      <w:tr>
        <w:tc>
          <w:tcPr>
            <w:tcW w:type="dxa" w:w="11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DMS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Dimethyl sulfide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dms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17.2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27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-0.038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-0.125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2.13e-01</w:t>
            </w:r>
          </w:p>
        </w:tc>
      </w:tr>
      <w:tr>
        <w:tc>
          <w:tcPr>
            <w:tcW w:type="dxa" w:w="11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X2.3.butanedione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Diacetyl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diacetyl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0.299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96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-0.211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-0.141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9.25e-01</w:t>
            </w:r>
          </w:p>
        </w:tc>
      </w:tr>
      <w:tr>
        <w:tc>
          <w:tcPr>
            <w:tcW w:type="dxa" w:w="11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X4VG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4-vinylguaiacol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X4vg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0.206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82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0.126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-0.334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1.42e-12</w:t>
            </w:r>
          </w:p>
        </w:tc>
      </w:tr>
      <w:tr>
        <w:tc>
          <w:tcPr>
            <w:tcW w:type="dxa" w:w="11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X.E..2.nonenal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E-2-nonenal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t2n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1.27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25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-0.158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-0.0731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8.67e-01</w:t>
            </w:r>
          </w:p>
        </w:tc>
      </w:tr>
      <w:tr>
        <w:tc>
          <w:tcPr>
            <w:tcW w:type="dxa" w:w="11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lactic_acid.mg.L.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Lactic acid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lactic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417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-0.304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</w:tr>
      <w:tr>
        <w:tc>
          <w:tcPr>
            <w:tcW w:type="dxa" w:w="11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acetic_acid.g.L.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Acetic acid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acetic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0.14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111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-0.265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-0.276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9.54e-07</w:t>
            </w:r>
          </w:p>
        </w:tc>
      </w:tr>
    </w:tbl>
    <w:p>
      <w:pPr>
        <w:spacing w:after="40"/>
      </w:pPr>
    </w:p>
    <w:p>
      <w:pPr>
        <w:spacing w:before="0" w:after="60"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（4）Top-3 的信息充分性。仅用每个维度的 3 个关键化合物做 Ridge 回归，即可达到平均 R²=0.174，相当于全部 218 个化合物（R²=0.200）的 87.2%。这说明 Top-3 抓住了该维度的主要可预测信息，是一个紧凑而有效的"风味指纹"摘要。</w:t>
      </w:r>
    </w:p>
    <w:p>
      <w:pPr>
        <w:keepNext/>
        <w:spacing w:before="240" w:after="120"/>
        <w:jc w:val="left"/>
      </w:pPr>
      <w:r>
        <w:rPr>
          <w:rFonts w:ascii="Times New Roman" w:hAnsi="Times New Roman" w:eastAsia="黑体"/>
          <w:b/>
          <w:sz w:val="30"/>
        </w:rPr>
        <w:t>五、问题 3：风味与"风味指纹"生成</w:t>
      </w:r>
    </w:p>
    <w:p>
      <w:pPr>
        <w:keepNext/>
        <w:spacing w:before="160" w:after="80"/>
      </w:pPr>
      <w:r>
        <w:rPr>
          <w:rFonts w:ascii="Times New Roman" w:hAnsi="Times New Roman" w:eastAsia="黑体"/>
          <w:b/>
          <w:sz w:val="24"/>
        </w:rPr>
        <w:t>5.1 可逆特征空间与生成模型</w:t>
      </w:r>
    </w:p>
    <w:p>
      <w:pPr>
        <w:spacing w:before="0" w:after="60"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生成任务需要连续、可微且可逆的特征空间。本文构建"对数-标准化"空间：208 个已为 log10 的列直接使用，23 个原始浓度列取 log10(x+10⁻⁶)，随后逐列标准化为均值 0、方差 1 的 Z 空间；其逆变换可精确回到 1.csv 的原始量纲，从而支持浓度阈值判定（详见 5.5 节）。在此空间上，本文比较了两类风格条件生成模型：</w:t>
      </w:r>
    </w:p>
    <w:p>
      <w:pPr>
        <w:spacing w:before="0" w:after="60"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（1）条件概率主成分生成器（PPCA）。在全局主成分（K=20）低维潜空间内，以风格样本均值（经 κ=5 的收缩估计）为条件均值、以全局潜空间尺度采样隐变量，再经主成分逆变换与残差噪声还原为完整化合物谱。该模型简单稳健、协方差结构明确，作为基线。</w:t>
      </w:r>
    </w:p>
    <w:p>
      <w:pPr>
        <w:spacing w:before="0" w:after="60"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（2）条件变分自编码器（CVAE）[8][9]。编码器以"化合物谱 + 风格嵌入"为输入输出 16 维潜变量（均值与对数方差），解码器以"潜变量 + 风格嵌入"还原化合物谱；损失为重构均方误差与 KL 散度的加权和（β=0.5），训练 1500 轮（全量 250 样本，批大小 32）。条件采样时，隐变量从"该风格训练样本的后验均值与收缩方差"的高斯分布中抽取，而非标准正态，从而避免小样本风格（如仅 10 例的 Kriek）生成结果向全局均值坍缩。</w:t>
      </w:r>
    </w:p>
    <w:p>
      <w:pPr>
        <w:spacing w:before="0" w:after="60"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两个模型均在全部 22 个风格上联合训练（共享化合物相关结构），并针对 Tripel、Kriek、Lambic 三种目标风格重点评估。</w:t>
      </w:r>
    </w:p>
    <w:p>
      <w:pPr>
        <w:keepNext/>
        <w:spacing w:before="160" w:after="80"/>
      </w:pPr>
      <w:r>
        <w:rPr>
          <w:rFonts w:ascii="Times New Roman" w:hAnsi="Times New Roman" w:eastAsia="黑体"/>
          <w:b/>
          <w:sz w:val="24"/>
        </w:rPr>
        <w:t>5.2 生成质量评价体系</w:t>
      </w:r>
    </w:p>
    <w:p>
      <w:pPr>
        <w:spacing w:before="0" w:after="60"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本文从五个维度客观评价生成质量：（1）风格保真度：在真实数据上训练风格分类器（极端随机树，5 折交叉验证准确率 0.564），统计生成样本被判别为目标风格的比例；（2）分布距离：生成样本与真实风格样本在特征空间的 RBF 核 MMD；（3）感官画像一致性：经问题 1 的感官预测器得到生成样本的 50 维感官画像，与真实风格均值画像的相关系数；（4）缺陷合规率：生成样本中缺陷指数超过"真实风格 75% 分位"的样本比例；（5）多样性：生成样本在 5 维主成分空间中的平均两两距离。表 11 比较了两个模型。CVAE 在风格保真度（Tripel 0.90、Kriek 0.94、Lambic 1.00）与感官一致性（0.88–0.99）上全面优于 PPCA，MMD 也更低（0.17–0.23），综合得分 0.905 vs 0.582，因此本文以 CVAE 作为主生成模型（三个风格均选择 CVAE）。</w:t>
      </w:r>
    </w:p>
    <w:p>
      <w:pPr>
        <w:spacing w:before="40" w:after="160"/>
        <w:jc w:val="center"/>
      </w:pPr>
      <w:r>
        <w:rPr>
          <w:rFonts w:ascii="Times New Roman" w:hAnsi="Times New Roman" w:eastAsia="宋体"/>
          <w:b w:val="0"/>
          <w:sz w:val="19"/>
        </w:rPr>
        <w:t>表 11  两种风格条件生成模型的定量比较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20"/>
        <w:gridCol w:w="1120"/>
        <w:gridCol w:w="1120"/>
        <w:gridCol w:w="1120"/>
        <w:gridCol w:w="1120"/>
        <w:gridCol w:w="1120"/>
        <w:gridCol w:w="1120"/>
        <w:gridCol w:w="1120"/>
      </w:tblGrid>
      <w:tr>
        <w:tc>
          <w:tcPr>
            <w:tcW w:type="dxa" w:w="1120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5"/>
              </w:rPr>
              <w:t>模型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5"/>
              </w:rPr>
              <w:t>风格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5"/>
              </w:rPr>
              <w:t>风格保真度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5"/>
              </w:rPr>
              <w:t>感官画像相关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5"/>
              </w:rPr>
              <w:t>MMD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5"/>
              </w:rPr>
              <w:t>缺陷超限率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5"/>
              </w:rPr>
              <w:t>真实缺陷超限率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5"/>
              </w:rPr>
              <w:t>多样性</w:t>
            </w:r>
          </w:p>
        </w:tc>
      </w:tr>
      <w:tr>
        <w:tc>
          <w:tcPr>
            <w:tcW w:type="dxa" w:w="11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条件 PPCA（概率主成分）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三料（Tripel）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0.335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0.506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0.237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0.000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1.000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13.038</w:t>
            </w:r>
          </w:p>
        </w:tc>
      </w:tr>
      <w:tr>
        <w:tc>
          <w:tcPr>
            <w:tcW w:type="dxa" w:w="11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条件 PPCA（概率主成分）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樱桃（Kriek）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0.645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0.933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0.324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0.000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0.800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13.021</w:t>
            </w:r>
          </w:p>
        </w:tc>
      </w:tr>
      <w:tr>
        <w:tc>
          <w:tcPr>
            <w:tcW w:type="dxa" w:w="11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条件 PPCA（概率主成分）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兰比克（Lambic）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0.425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0.910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0.347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0.370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0.909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13.021</w:t>
            </w:r>
          </w:p>
        </w:tc>
      </w:tr>
      <w:tr>
        <w:tc>
          <w:tcPr>
            <w:tcW w:type="dxa" w:w="11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条件变分自编码器（CVAE）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三料（Tripel）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0.900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0.878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0.173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0.000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1.000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7.024</w:t>
            </w:r>
          </w:p>
        </w:tc>
      </w:tr>
      <w:tr>
        <w:tc>
          <w:tcPr>
            <w:tcW w:type="dxa" w:w="11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条件变分自编码器（CVAE）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樱桃（Kriek）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0.935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0.959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0.234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0.000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0.800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7.149</w:t>
            </w:r>
          </w:p>
        </w:tc>
      </w:tr>
      <w:tr>
        <w:tc>
          <w:tcPr>
            <w:tcW w:type="dxa" w:w="11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条件变分自编码器（CVAE）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兰比克（Lambic）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0.995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0.985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0.214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0.365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0.909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5.067</w:t>
            </w:r>
          </w:p>
        </w:tc>
      </w:tr>
    </w:tbl>
    <w:p>
      <w:pPr>
        <w:spacing w:after="40"/>
      </w:pPr>
    </w:p>
    <w:p>
      <w:pPr>
        <w:keepNext/>
        <w:spacing w:before="160" w:after="80"/>
      </w:pPr>
      <w:r>
        <w:rPr>
          <w:rFonts w:ascii="Times New Roman" w:hAnsi="Times New Roman" w:eastAsia="黑体"/>
          <w:b/>
          <w:sz w:val="24"/>
        </w:rPr>
        <w:t>5.3 三风格化合物谱与感官画像</w:t>
      </w:r>
    </w:p>
    <w:p>
      <w:pPr>
        <w:spacing w:before="0" w:after="60"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对三种目标风格各生成 200 条化合物谱（Q3_generated_*.csv），并给出"风味指纹"：与全体样本均值相比升高最多的 10 个化合物与降低最多的 10 个化合物，以及 50 维感官画像（表 12、图 12–13）。生成结果复现了三种风格的典型工艺特征：</w:t>
      </w:r>
    </w:p>
    <w:p>
      <w:pPr>
        <w:spacing w:before="0" w:after="60"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Tripel（三料）：酒精感（z=0.29）、酒体（0.14）、苦度（0.19）、酯香（0.11）与酒花香（0.18）均高于平均，符合"高酒精度、高酯香、较强调苦感"的三料风格；</w:t>
      </w:r>
    </w:p>
    <w:p>
      <w:pPr>
        <w:spacing w:before="0" w:after="60"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Kriek（樱桃）：酸度（1.35）、乳酸（1.11）、乙酸（1.03）显著升高，苦度（−0.71）、酒精感（−0.53）与酒花香（−0.40）降低，重现了樱桃啤酒经乳酸菌发酵形成的"高酸、低苦、果香"特征；</w:t>
      </w:r>
    </w:p>
    <w:p>
      <w:pPr>
        <w:spacing w:before="0" w:after="60"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Lambic（兰比克）：酸度（1.47）、乳酸（1.22）、乙酸（1.23）为三风格最高，酒精感（−0.53）与苦度（−0.61）最低，且陈酒花味略升（0.07），与兰比克啤酒长时间陈酿、野生菌群发酵的工艺特征一致。此外，生成样本的缺陷水平（图 14a）被控制在真实风格同量级，未出现"为追求风格而放大缺陷"的退化。</w:t>
      </w:r>
    </w:p>
    <w:p>
      <w:pPr>
        <w:spacing w:before="40" w:after="160"/>
        <w:jc w:val="center"/>
      </w:pPr>
      <w:r>
        <w:rPr>
          <w:rFonts w:ascii="Times New Roman" w:hAnsi="Times New Roman" w:eastAsia="宋体"/>
          <w:b w:val="0"/>
          <w:sz w:val="19"/>
        </w:rPr>
        <w:t>表 12  生成样本的感官画像（z 值，正值表示强于全体平均）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60"/>
        <w:gridCol w:w="560"/>
        <w:gridCol w:w="560"/>
        <w:gridCol w:w="560"/>
        <w:gridCol w:w="560"/>
        <w:gridCol w:w="560"/>
        <w:gridCol w:w="560"/>
        <w:gridCol w:w="560"/>
        <w:gridCol w:w="560"/>
        <w:gridCol w:w="560"/>
        <w:gridCol w:w="560"/>
        <w:gridCol w:w="560"/>
        <w:gridCol w:w="560"/>
        <w:gridCol w:w="560"/>
        <w:gridCol w:w="560"/>
        <w:gridCol w:w="560"/>
      </w:tblGrid>
      <w:tr>
        <w:tc>
          <w:tcPr>
            <w:tcW w:type="dxa" w:w="560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5"/>
              </w:rPr>
              <w:t>风格</w:t>
            </w:r>
          </w:p>
        </w:tc>
        <w:tc>
          <w:tcPr>
            <w:tcW w:type="dxa" w:w="560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5"/>
              </w:rPr>
              <w:t>酒精感</w:t>
            </w:r>
          </w:p>
        </w:tc>
        <w:tc>
          <w:tcPr>
            <w:tcW w:type="dxa" w:w="560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5"/>
              </w:rPr>
              <w:t>酒体</w:t>
            </w:r>
          </w:p>
        </w:tc>
        <w:tc>
          <w:tcPr>
            <w:tcW w:type="dxa" w:w="560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5"/>
              </w:rPr>
              <w:t>苦度</w:t>
            </w:r>
          </w:p>
        </w:tc>
        <w:tc>
          <w:tcPr>
            <w:tcW w:type="dxa" w:w="560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5"/>
              </w:rPr>
              <w:t>甜度</w:t>
            </w:r>
          </w:p>
        </w:tc>
        <w:tc>
          <w:tcPr>
            <w:tcW w:type="dxa" w:w="560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5"/>
              </w:rPr>
              <w:t>酸度</w:t>
            </w:r>
          </w:p>
        </w:tc>
        <w:tc>
          <w:tcPr>
            <w:tcW w:type="dxa" w:w="560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5"/>
              </w:rPr>
              <w:t>乳酸</w:t>
            </w:r>
          </w:p>
        </w:tc>
        <w:tc>
          <w:tcPr>
            <w:tcW w:type="dxa" w:w="560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5"/>
              </w:rPr>
              <w:t>乙酸</w:t>
            </w:r>
          </w:p>
        </w:tc>
        <w:tc>
          <w:tcPr>
            <w:tcW w:type="dxa" w:w="560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5"/>
              </w:rPr>
              <w:t>酯香</w:t>
            </w:r>
          </w:p>
        </w:tc>
        <w:tc>
          <w:tcPr>
            <w:tcW w:type="dxa" w:w="560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5"/>
              </w:rPr>
              <w:t>酒花香</w:t>
            </w:r>
          </w:p>
        </w:tc>
        <w:tc>
          <w:tcPr>
            <w:tcW w:type="dxa" w:w="560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5"/>
              </w:rPr>
              <w:t>麦芽香</w:t>
            </w:r>
          </w:p>
        </w:tc>
        <w:tc>
          <w:tcPr>
            <w:tcW w:type="dxa" w:w="560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5"/>
              </w:rPr>
              <w:t>DMS</w:t>
            </w:r>
          </w:p>
        </w:tc>
        <w:tc>
          <w:tcPr>
            <w:tcW w:type="dxa" w:w="560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5"/>
              </w:rPr>
              <w:t>双乙酰</w:t>
            </w:r>
          </w:p>
        </w:tc>
        <w:tc>
          <w:tcPr>
            <w:tcW w:type="dxa" w:w="560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5"/>
              </w:rPr>
              <w:t>4VG</w:t>
            </w:r>
          </w:p>
        </w:tc>
        <w:tc>
          <w:tcPr>
            <w:tcW w:type="dxa" w:w="560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5"/>
              </w:rPr>
              <w:t>反-2-壬烯醛</w:t>
            </w:r>
          </w:p>
        </w:tc>
        <w:tc>
          <w:tcPr>
            <w:tcW w:type="dxa" w:w="560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5"/>
              </w:rPr>
              <w:t>陈酒花味</w:t>
            </w:r>
          </w:p>
        </w:tc>
      </w:tr>
      <w:tr>
        <w:tc>
          <w:tcPr>
            <w:tcW w:type="dxa" w:w="5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三料（Tripel）</w:t>
            </w:r>
          </w:p>
        </w:tc>
        <w:tc>
          <w:tcPr>
            <w:tcW w:type="dxa" w:w="5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0.29</w:t>
            </w:r>
          </w:p>
        </w:tc>
        <w:tc>
          <w:tcPr>
            <w:tcW w:type="dxa" w:w="5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0.14</w:t>
            </w:r>
          </w:p>
        </w:tc>
        <w:tc>
          <w:tcPr>
            <w:tcW w:type="dxa" w:w="5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0.19</w:t>
            </w:r>
          </w:p>
        </w:tc>
        <w:tc>
          <w:tcPr>
            <w:tcW w:type="dxa" w:w="5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-0.06</w:t>
            </w:r>
          </w:p>
        </w:tc>
        <w:tc>
          <w:tcPr>
            <w:tcW w:type="dxa" w:w="5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-0.21</w:t>
            </w:r>
          </w:p>
        </w:tc>
        <w:tc>
          <w:tcPr>
            <w:tcW w:type="dxa" w:w="5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-0.19</w:t>
            </w:r>
          </w:p>
        </w:tc>
        <w:tc>
          <w:tcPr>
            <w:tcW w:type="dxa" w:w="5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-0.19</w:t>
            </w:r>
          </w:p>
        </w:tc>
        <w:tc>
          <w:tcPr>
            <w:tcW w:type="dxa" w:w="5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0.11</w:t>
            </w:r>
          </w:p>
        </w:tc>
        <w:tc>
          <w:tcPr>
            <w:tcW w:type="dxa" w:w="5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0.18</w:t>
            </w:r>
          </w:p>
        </w:tc>
        <w:tc>
          <w:tcPr>
            <w:tcW w:type="dxa" w:w="5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-0.03</w:t>
            </w:r>
          </w:p>
        </w:tc>
        <w:tc>
          <w:tcPr>
            <w:tcW w:type="dxa" w:w="5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0.03</w:t>
            </w:r>
          </w:p>
        </w:tc>
        <w:tc>
          <w:tcPr>
            <w:tcW w:type="dxa" w:w="5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-0.02</w:t>
            </w:r>
          </w:p>
        </w:tc>
        <w:tc>
          <w:tcPr>
            <w:tcW w:type="dxa" w:w="5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0.11</w:t>
            </w:r>
          </w:p>
        </w:tc>
        <w:tc>
          <w:tcPr>
            <w:tcW w:type="dxa" w:w="5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-0.02</w:t>
            </w:r>
          </w:p>
        </w:tc>
        <w:tc>
          <w:tcPr>
            <w:tcW w:type="dxa" w:w="5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-0.03</w:t>
            </w:r>
          </w:p>
        </w:tc>
      </w:tr>
      <w:tr>
        <w:tc>
          <w:tcPr>
            <w:tcW w:type="dxa" w:w="5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樱桃（Kriek）</w:t>
            </w:r>
          </w:p>
        </w:tc>
        <w:tc>
          <w:tcPr>
            <w:tcW w:type="dxa" w:w="5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-0.53</w:t>
            </w:r>
          </w:p>
        </w:tc>
        <w:tc>
          <w:tcPr>
            <w:tcW w:type="dxa" w:w="5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-0.25</w:t>
            </w:r>
          </w:p>
        </w:tc>
        <w:tc>
          <w:tcPr>
            <w:tcW w:type="dxa" w:w="5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-0.71</w:t>
            </w:r>
          </w:p>
        </w:tc>
        <w:tc>
          <w:tcPr>
            <w:tcW w:type="dxa" w:w="5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0.24</w:t>
            </w:r>
          </w:p>
        </w:tc>
        <w:tc>
          <w:tcPr>
            <w:tcW w:type="dxa" w:w="5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1.35</w:t>
            </w:r>
          </w:p>
        </w:tc>
        <w:tc>
          <w:tcPr>
            <w:tcW w:type="dxa" w:w="5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1.11</w:t>
            </w:r>
          </w:p>
        </w:tc>
        <w:tc>
          <w:tcPr>
            <w:tcW w:type="dxa" w:w="5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1.03</w:t>
            </w:r>
          </w:p>
        </w:tc>
        <w:tc>
          <w:tcPr>
            <w:tcW w:type="dxa" w:w="5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0.30</w:t>
            </w:r>
          </w:p>
        </w:tc>
        <w:tc>
          <w:tcPr>
            <w:tcW w:type="dxa" w:w="5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-0.40</w:t>
            </w:r>
          </w:p>
        </w:tc>
        <w:tc>
          <w:tcPr>
            <w:tcW w:type="dxa" w:w="5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-0.23</w:t>
            </w:r>
          </w:p>
        </w:tc>
        <w:tc>
          <w:tcPr>
            <w:tcW w:type="dxa" w:w="5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-0.17</w:t>
            </w:r>
          </w:p>
        </w:tc>
        <w:tc>
          <w:tcPr>
            <w:tcW w:type="dxa" w:w="5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-0.02</w:t>
            </w:r>
          </w:p>
        </w:tc>
        <w:tc>
          <w:tcPr>
            <w:tcW w:type="dxa" w:w="5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-0.37</w:t>
            </w:r>
          </w:p>
        </w:tc>
        <w:tc>
          <w:tcPr>
            <w:tcW w:type="dxa" w:w="5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-0.03</w:t>
            </w:r>
          </w:p>
        </w:tc>
        <w:tc>
          <w:tcPr>
            <w:tcW w:type="dxa" w:w="5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-0.08</w:t>
            </w:r>
          </w:p>
        </w:tc>
      </w:tr>
      <w:tr>
        <w:tc>
          <w:tcPr>
            <w:tcW w:type="dxa" w:w="5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兰比克（Lambic）</w:t>
            </w:r>
          </w:p>
        </w:tc>
        <w:tc>
          <w:tcPr>
            <w:tcW w:type="dxa" w:w="5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-0.53</w:t>
            </w:r>
          </w:p>
        </w:tc>
        <w:tc>
          <w:tcPr>
            <w:tcW w:type="dxa" w:w="5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-0.21</w:t>
            </w:r>
          </w:p>
        </w:tc>
        <w:tc>
          <w:tcPr>
            <w:tcW w:type="dxa" w:w="5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-0.61</w:t>
            </w:r>
          </w:p>
        </w:tc>
        <w:tc>
          <w:tcPr>
            <w:tcW w:type="dxa" w:w="5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0.04</w:t>
            </w:r>
          </w:p>
        </w:tc>
        <w:tc>
          <w:tcPr>
            <w:tcW w:type="dxa" w:w="5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1.47</w:t>
            </w:r>
          </w:p>
        </w:tc>
        <w:tc>
          <w:tcPr>
            <w:tcW w:type="dxa" w:w="5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1.22</w:t>
            </w:r>
          </w:p>
        </w:tc>
        <w:tc>
          <w:tcPr>
            <w:tcW w:type="dxa" w:w="5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1.23</w:t>
            </w:r>
          </w:p>
        </w:tc>
        <w:tc>
          <w:tcPr>
            <w:tcW w:type="dxa" w:w="5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0.00</w:t>
            </w:r>
          </w:p>
        </w:tc>
        <w:tc>
          <w:tcPr>
            <w:tcW w:type="dxa" w:w="5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-0.27</w:t>
            </w:r>
          </w:p>
        </w:tc>
        <w:tc>
          <w:tcPr>
            <w:tcW w:type="dxa" w:w="5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-0.23</w:t>
            </w:r>
          </w:p>
        </w:tc>
        <w:tc>
          <w:tcPr>
            <w:tcW w:type="dxa" w:w="5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-0.10</w:t>
            </w:r>
          </w:p>
        </w:tc>
        <w:tc>
          <w:tcPr>
            <w:tcW w:type="dxa" w:w="5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0.00</w:t>
            </w:r>
          </w:p>
        </w:tc>
        <w:tc>
          <w:tcPr>
            <w:tcW w:type="dxa" w:w="5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-0.36</w:t>
            </w:r>
          </w:p>
        </w:tc>
        <w:tc>
          <w:tcPr>
            <w:tcW w:type="dxa" w:w="5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-0.02</w:t>
            </w:r>
          </w:p>
        </w:tc>
        <w:tc>
          <w:tcPr>
            <w:tcW w:type="dxa" w:w="5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0.07</w:t>
            </w:r>
          </w:p>
        </w:tc>
      </w:tr>
    </w:tbl>
    <w:p>
      <w:pPr>
        <w:spacing w:after="40"/>
      </w:pP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12000" cy="372307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q3_pca_generated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723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 w:eastAsia="宋体"/>
          <w:b w:val="0"/>
          <w:sz w:val="19"/>
        </w:rPr>
        <w:t>图 12  真实样本与生成样本在前两个主成分上的分布（星号为生成样本）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200755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q3_radar_portrai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0075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 w:eastAsia="宋体"/>
          <w:b w:val="0"/>
          <w:sz w:val="19"/>
        </w:rPr>
        <w:t>图 13  Tripel / Kriek / Lambic 的生成感官画像与真实均值对比</w:t>
      </w:r>
    </w:p>
    <w:p>
      <w:pPr>
        <w:keepNext/>
        <w:spacing w:before="160" w:after="80"/>
      </w:pPr>
      <w:r>
        <w:rPr>
          <w:rFonts w:ascii="Times New Roman" w:hAnsi="Times New Roman" w:eastAsia="黑体"/>
          <w:b/>
          <w:sz w:val="24"/>
        </w:rPr>
        <w:t>5.4 跨风格迁移：Pils/Lager → Tripel</w:t>
      </w:r>
    </w:p>
    <w:p>
      <w:pPr>
        <w:spacing w:before="0" w:after="60"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跨风格迁移的目标是把源风格（Pils/Lager，11 款）的化合物谱"改造"为目标风格（Tripel）的统计特征，同时保留源样本的个体特征并保证缺陷化合物不恶化。本文提出"潜在空间风格平移 + 缺陷约束投影"方法：</w:t>
      </w:r>
    </w:p>
    <w:p>
      <w:pPr>
        <w:spacing w:before="0" w:after="60"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第一步，在生成模型的潜空间中计算风格平移向量 Δ = μ(Tripel) − μ(Pils/Lager)（μ 为各风格训练样本后验均值），对源样本编码得到 z_src 后平移 z′ = z_src + Δ，再用 Tripel 条件解码得到初始迁移谱。</w:t>
      </w:r>
    </w:p>
    <w:p>
      <w:pPr>
        <w:spacing w:before="0" w:after="60"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第二步，缺陷约束投影。对 DMS、4-乙烯基愈创木酚、双乙酰、反-2-壬烯醛四个缺陷化合物，把允许上限设为 D_cap = min{源样本缺陷指数, 目标风格缺陷指数的 75% 分位}，在输出空间将其浓度精确截断到 D_cap×阈值，再重新解码/返回特征空间。由于四个缺陷各自只对应单一化合物，该投影为精确投影，可从数学上保证"缺陷指数不高于源样本"。</w:t>
      </w:r>
    </w:p>
    <w:p>
      <w:pPr>
        <w:spacing w:before="0" w:after="60"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迁移结果（表 13、图 14–15）：11 款 Pils/Lager 的 Tripel 判别概率由 0.000 升至 0.480；与真实 Tripel 感官画像的相关系数由 −0.140 升至 0.807；缺陷指数方面，DMS 保持 0.914 不变，4-乙烯基愈创木酚由 0.110 降至 0.043，双乙酰由 0.565 降至 0.333，反-2-壬烯醛保持 0.011 不变，陈酒花味（感官缺陷预测）由 0.223 降至 0.020；逐样本"四项化学缺陷均不恶化"的比例为 100%。这表明迁移在"风格上更像 Tripel"的同时，没有以放大缺陷为代价，满足题目要求。</w:t>
      </w:r>
    </w:p>
    <w:p>
      <w:pPr>
        <w:spacing w:before="40" w:after="160"/>
        <w:jc w:val="center"/>
      </w:pPr>
      <w:r>
        <w:rPr>
          <w:rFonts w:ascii="Times New Roman" w:hAnsi="Times New Roman" w:eastAsia="宋体"/>
          <w:b w:val="0"/>
          <w:sz w:val="19"/>
        </w:rPr>
        <w:t>表 13  Pils/Lager → Tripel 跨风格迁移结果（11 款源样本均值）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7"/>
              </w:rPr>
              <w:t>指标</w:t>
            </w:r>
          </w:p>
        </w:tc>
        <w:tc>
          <w:tcPr>
            <w:tcW w:type="dxa" w:w="2986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7"/>
              </w:rPr>
              <w:t>迁移前（Pils/Lager）</w:t>
            </w:r>
          </w:p>
        </w:tc>
        <w:tc>
          <w:tcPr>
            <w:tcW w:type="dxa" w:w="2986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7"/>
              </w:rPr>
              <w:t>迁移后（→Tripel）</w:t>
            </w:r>
          </w:p>
        </w:tc>
      </w:tr>
      <w:tr>
        <w:tc>
          <w:tcPr>
            <w:tcW w:type="dxa" w:w="29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Tripel 判别概率</w:t>
            </w:r>
          </w:p>
        </w:tc>
        <w:tc>
          <w:tcPr>
            <w:tcW w:type="dxa" w:w="29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0.000</w:t>
            </w:r>
          </w:p>
        </w:tc>
        <w:tc>
          <w:tcPr>
            <w:tcW w:type="dxa" w:w="29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0.480</w:t>
            </w:r>
          </w:p>
        </w:tc>
      </w:tr>
      <w:tr>
        <w:tc>
          <w:tcPr>
            <w:tcW w:type="dxa" w:w="29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与 Tripel 感官画像相关</w:t>
            </w:r>
          </w:p>
        </w:tc>
        <w:tc>
          <w:tcPr>
            <w:tcW w:type="dxa" w:w="29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-0.140</w:t>
            </w:r>
          </w:p>
        </w:tc>
        <w:tc>
          <w:tcPr>
            <w:tcW w:type="dxa" w:w="29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0.807</w:t>
            </w:r>
          </w:p>
        </w:tc>
      </w:tr>
      <w:tr>
        <w:tc>
          <w:tcPr>
            <w:tcW w:type="dxa" w:w="29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DMS 缺陷指数</w:t>
            </w:r>
          </w:p>
        </w:tc>
        <w:tc>
          <w:tcPr>
            <w:tcW w:type="dxa" w:w="29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0.914</w:t>
            </w:r>
          </w:p>
        </w:tc>
        <w:tc>
          <w:tcPr>
            <w:tcW w:type="dxa" w:w="29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0.914</w:t>
            </w:r>
          </w:p>
        </w:tc>
      </w:tr>
      <w:tr>
        <w:tc>
          <w:tcPr>
            <w:tcW w:type="dxa" w:w="29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4VG 缺陷指数</w:t>
            </w:r>
          </w:p>
        </w:tc>
        <w:tc>
          <w:tcPr>
            <w:tcW w:type="dxa" w:w="29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0.110</w:t>
            </w:r>
          </w:p>
        </w:tc>
        <w:tc>
          <w:tcPr>
            <w:tcW w:type="dxa" w:w="29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0.043</w:t>
            </w:r>
          </w:p>
        </w:tc>
      </w:tr>
      <w:tr>
        <w:tc>
          <w:tcPr>
            <w:tcW w:type="dxa" w:w="29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双乙酰缺陷指数</w:t>
            </w:r>
          </w:p>
        </w:tc>
        <w:tc>
          <w:tcPr>
            <w:tcW w:type="dxa" w:w="29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0.565</w:t>
            </w:r>
          </w:p>
        </w:tc>
        <w:tc>
          <w:tcPr>
            <w:tcW w:type="dxa" w:w="29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0.333</w:t>
            </w:r>
          </w:p>
        </w:tc>
      </w:tr>
      <w:tr>
        <w:tc>
          <w:tcPr>
            <w:tcW w:type="dxa" w:w="29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反-2-壬烯醛缺陷指数</w:t>
            </w:r>
          </w:p>
        </w:tc>
        <w:tc>
          <w:tcPr>
            <w:tcW w:type="dxa" w:w="29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0.011</w:t>
            </w:r>
          </w:p>
        </w:tc>
        <w:tc>
          <w:tcPr>
            <w:tcW w:type="dxa" w:w="29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0.011</w:t>
            </w:r>
          </w:p>
        </w:tc>
      </w:tr>
      <w:tr>
        <w:tc>
          <w:tcPr>
            <w:tcW w:type="dxa" w:w="29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陈酒花味缺陷指数</w:t>
            </w:r>
          </w:p>
        </w:tc>
        <w:tc>
          <w:tcPr>
            <w:tcW w:type="dxa" w:w="29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0.223</w:t>
            </w:r>
          </w:p>
        </w:tc>
        <w:tc>
          <w:tcPr>
            <w:tcW w:type="dxa" w:w="29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0.020</w:t>
            </w:r>
          </w:p>
        </w:tc>
      </w:tr>
      <w:tr>
        <w:tc>
          <w:tcPr>
            <w:tcW w:type="dxa" w:w="29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缺陷超阈值个数</w:t>
            </w:r>
          </w:p>
        </w:tc>
        <w:tc>
          <w:tcPr>
            <w:tcW w:type="dxa" w:w="29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0.45</w:t>
            </w:r>
          </w:p>
        </w:tc>
        <w:tc>
          <w:tcPr>
            <w:tcW w:type="dxa" w:w="298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0.36</w:t>
            </w:r>
          </w:p>
        </w:tc>
      </w:tr>
    </w:tbl>
    <w:p>
      <w:pPr>
        <w:spacing w:after="40"/>
      </w:pP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232686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q3_transfer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326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 w:eastAsia="宋体"/>
          <w:b w:val="0"/>
          <w:sz w:val="19"/>
        </w:rPr>
        <w:t>图 14  Pils/Lager → Tripel 迁移效果（a：Tripel 判别概率；b：感官画像相关性）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219963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q3_defect_control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199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 w:eastAsia="宋体"/>
          <w:b w:val="0"/>
          <w:sz w:val="19"/>
        </w:rPr>
        <w:t>图 15  缺陷化合物控制效果（a：生成样本；b：迁移前后）</w:t>
      </w:r>
    </w:p>
    <w:p>
      <w:pPr>
        <w:keepNext/>
        <w:spacing w:before="160" w:after="80"/>
      </w:pPr>
      <w:r>
        <w:rPr>
          <w:rFonts w:ascii="Times New Roman" w:hAnsi="Times New Roman" w:eastAsia="黑体"/>
          <w:b/>
          <w:sz w:val="24"/>
        </w:rPr>
        <w:t>5.5 缺陷化合物控制与结果讨论</w:t>
      </w:r>
    </w:p>
    <w:p>
      <w:pPr>
        <w:spacing w:before="0" w:after="60"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题目明确要求"缺陷化合物以所列 DMS/Diacetyl/4VG/trans-2-nonenal/Stale hops 等超阈值项为准"。本文的处理要点如下：（1）缺陷判定采用"浓度/阈值"的相对指数，其中 DMS 阈值取 8.xlsx 感官阈值表的均值 17.25 µg/L，双乙酰取 0.299 mg/L，4-乙烯基愈创木酚取 0.206 mg/L，反-2-壬烯醛参照文献取 0.35 µg/L；（2）反-2-壬烯醛与陈酒花味在附件中缺乏完整阈值信息，前者按文献阈值处理，后者用问题 1 的感官预测器输出的"陈酒花味"维度作为代理指标；（3）生成与迁移均采用"相对真实风格的缺陷水平"作为上限，避免生成样本出现不合理的缺陷放大。</w:t>
      </w:r>
    </w:p>
    <w:p>
      <w:pPr>
        <w:spacing w:before="0" w:after="60"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需要指出的是，真实数据中 Tripel 的缺陷超阈值率达到 100%、Lambic 为 91%，说明本文所用阈值较为严格（部分阈值来自水溶液体系，未考虑啤酒基质效应）。因此本文在生成/迁移中采用"相对上限"而非"绝对低于阈值"的策略，这在工程上更合理，也更能体现"不恶化"的题意。</w:t>
      </w:r>
    </w:p>
    <w:p>
      <w:pPr>
        <w:spacing w:before="0" w:after="60"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从风格指纹角度看，三类风格的生成画像均与真实均值高度一致（相关 0.88–0.99），缺陷受控且多样性良好（多样性指标 5.1–7.2），说明 CVAE 并未退化为"风格均值复制"，而是学习到了风格内部的自然变异。这为"以目标风味反推化合物配方"的逆向设计提供了可行路径。</w:t>
      </w:r>
    </w:p>
    <w:p>
      <w:pPr>
        <w:keepNext/>
        <w:spacing w:before="240" w:after="120"/>
        <w:jc w:val="left"/>
      </w:pPr>
      <w:r>
        <w:rPr>
          <w:rFonts w:ascii="Times New Roman" w:hAnsi="Times New Roman" w:eastAsia="黑体"/>
          <w:b/>
          <w:sz w:val="30"/>
        </w:rPr>
        <w:t>六、模型评价与推广</w:t>
      </w:r>
    </w:p>
    <w:p>
      <w:pPr>
        <w:keepNext/>
        <w:spacing w:before="160" w:after="80"/>
      </w:pPr>
      <w:r>
        <w:rPr>
          <w:rFonts w:ascii="Times New Roman" w:hAnsi="Times New Roman" w:eastAsia="黑体"/>
          <w:b/>
          <w:sz w:val="24"/>
        </w:rPr>
        <w:t>6.1 模型优点</w:t>
      </w:r>
    </w:p>
    <w:p>
      <w:pPr>
        <w:spacing w:before="0" w:after="60"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（1）数据理解扎实。本文对 8 个附件做了逐项交叉核验，纠正了赛题说明中"pH/乙醇等保留原始量纲"、"2.csv 为 Pearson 相关"等易致错的表述，所有建模均建立在经证据支撑的数据结构之上。</w:t>
      </w:r>
    </w:p>
    <w:p>
      <w:pPr>
        <w:spacing w:before="0" w:after="60"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（2）方法可解释、可复现。问题 1 的"秩-高斯 + 树集成 + 等级反演"链条每一步都有明确统计含义；问题 2 的五方法秩聚合既利用了相关网络结构，又通过 bootstrap 与 Jaccard 量化了不确定性；问题 3 的生成模型与缺陷约束投影规则清晰、可精确验证。全部代码、数据与随机种子均随支撑材料提交。</w:t>
      </w:r>
    </w:p>
    <w:p>
      <w:pPr>
        <w:spacing w:before="0" w:after="60"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（3）结果量化充分。三个问题分别给出 R²、等级一致率、缺失鲁棒性曲线、模块度、bootstrap 频率、Jaccard 系数、标志物命中率、MMD、风格保真度、缺陷指数等指标，结论均有数据支撑。</w:t>
      </w:r>
    </w:p>
    <w:p>
      <w:pPr>
        <w:keepNext/>
        <w:spacing w:before="160" w:after="80"/>
      </w:pPr>
      <w:r>
        <w:rPr>
          <w:rFonts w:ascii="Times New Roman" w:hAnsi="Times New Roman" w:eastAsia="黑体"/>
          <w:b/>
          <w:sz w:val="24"/>
        </w:rPr>
        <w:t>6.2 局限性与改进方向</w:t>
      </w:r>
    </w:p>
    <w:p>
      <w:pPr>
        <w:spacing w:before="0" w:after="60"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（1）样本量与不平衡。250 个样本、22 个风格，部分风格仅 3–5 例（Faro、Brut），生成模型对这些小样本风格的估计不确定性较大；后续可引入层次贝叶斯或风格先验迁移。</w:t>
      </w:r>
    </w:p>
    <w:p>
      <w:pPr>
        <w:spacing w:before="0" w:after="60"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（2）标签反演的可辨识性。"逐品评员 z 化"损失了绝对尺度信息，本文的等距等级潜变量模型虽经仿真验证，但仍依赖"等级间等距、噪声同方差"的假设；若能获得原始 0–6 评分，可直接监督学习，精度会进一步提高。</w:t>
      </w:r>
    </w:p>
    <w:p>
      <w:pPr>
        <w:spacing w:before="0" w:after="60"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（3）化合物覆盖不全。部分关键风味物质（如硫醇类、脂肪酸、异戊酸）未被测量，导致微量香气维度的可解释性偏低；后续可结合公开数据集[11]补充特征。</w:t>
      </w:r>
    </w:p>
    <w:p>
      <w:pPr>
        <w:spacing w:before="0" w:after="60"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（4）模型选择。受计算环境限制未纳入 XGBoost/LightGBM 等模型，但基于随机森林与极端随机树的结果，进一步提升空间有限（原始研究中 GBM 与随机森林的差距约 0.01）。</w:t>
      </w:r>
    </w:p>
    <w:p>
      <w:pPr>
        <w:keepNext/>
        <w:spacing w:before="160" w:after="80"/>
      </w:pPr>
      <w:r>
        <w:rPr>
          <w:rFonts w:ascii="Times New Roman" w:hAnsi="Times New Roman" w:eastAsia="黑体"/>
          <w:b/>
          <w:sz w:val="24"/>
        </w:rPr>
        <w:t>6.3 应用推广</w:t>
      </w:r>
    </w:p>
    <w:p>
      <w:pPr>
        <w:spacing w:before="0" w:after="60"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本文框架可直接推广到葡萄酒、白酒、咖啡等复杂食品的风味数字化：问题 1 的"化学→感官"预测可用于快速质量筛查与在线品控；问题 2 的"共表达网络 + Top-3 关键化合物"可用于风味定向育种、工艺参数优化与原料替换；问题 3 的"风格条件生成 + 缺陷约束迁移"可用于新产品概念设计（如"把普通拉格改造为三料风格而非放大缺陷"），在减少试错成本的同时保证风味安全。</w:t>
      </w:r>
    </w:p>
    <w:p>
      <w:pPr>
        <w:keepNext/>
        <w:spacing w:before="240" w:after="120"/>
        <w:jc w:val="left"/>
      </w:pPr>
      <w:r>
        <w:rPr>
          <w:rFonts w:ascii="Times New Roman" w:hAnsi="Times New Roman" w:eastAsia="黑体"/>
          <w:b/>
          <w:sz w:val="30"/>
        </w:rPr>
        <w:t>七、结论与建议</w:t>
      </w:r>
    </w:p>
    <w:p>
      <w:pPr>
        <w:spacing w:before="0" w:after="60"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本文围绕 2026 年 MathorCup 大数据竞赛 A 赛道的三个问题，构建了"数据核验—判别预测—关联解释—生成设计"的完整技术链条，主要结论如下：</w:t>
      </w:r>
    </w:p>
    <w:p>
      <w:pPr>
        <w:spacing w:before="0" w:after="60"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（1）附件数据存在若干需要纠正的结构性事实：1.csv 的 37 个参数列（含 pH、乙醇、色度、苦度、CO₂）均为 log10 变换值；2.csv 为 Spearman 相关矩阵；4.csv 为逐品评员 z 化后的连续感官值。这些核验结果是后续所有建模的前提。</w:t>
      </w:r>
    </w:p>
    <w:p>
      <w:pPr>
        <w:spacing w:before="0" w:after="60"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（2）问题 1：极端随机树在 3 次重复 5 折交叉验证下取得平均 R²=0.242，50 个维度全部为正 R²，在 30% 特征缺失下 R² 仅下降 0.019；经等距等级潜变量反演得到的 0–6 评分与参考等级的完全一致率约 50%、±1 级以内约 90%，仿真上限分别为 86% 与 99.7%，说明方法可靠。最终按官方 3.xlsx 格式输出 12 款啤酒评分卡与 250 款啤酒的完整评分矩阵。</w:t>
      </w:r>
    </w:p>
    <w:p>
      <w:pPr>
        <w:spacing w:before="0" w:after="60"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（3）问题 2：由 2.csv 构建的 218 节点、591 边共表达图模块度 0.649，识别出酵母酯类、酒花萜烯、美拉德呋喃/吡嗪、高级醇、硫化物等化学语义清晰的模块；"初筛 + 五方法加权 Borda" 给出的 Top-3 关键化合物在 100 次 bootstrap 下平均入选频率 0.500、方法间 Jaccard 系数 0.337，仅用 Top-3 即保留全特征 87% 的预测信息，并从来源一致性（72%）、阈值非线性（p&lt;10⁻⁶）等角度得到化学合理性支持。</w:t>
      </w:r>
    </w:p>
    <w:p>
      <w:pPr>
        <w:spacing w:before="0" w:after="60"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（4）问题 3：CVAE 风格条件生成模型在三风格上的风格保真度为 0.90/0.94/0.99、感官画像相关0.88/0.96/0.99，正确复现了 Tripel 的"高酒精+高酯香"与 Kriek/Lambic 的"高酸低苦"风味指纹；跨风格迁移使 Pils/Lager 的 Tripel 判别概率由 0 升至 0.48、感官相关由 −0.14 升至 0.81，且四项化学缺陷逐样本不恶化率达 100%。</w:t>
      </w:r>
    </w:p>
    <w:p>
      <w:pPr>
        <w:spacing w:before="0" w:after="60"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建议：在实际生产中，可将本文模型部署为"化合物检测→感官画像→风格匹配→缺陷预警→配方微调"的闭环系统；同时建议补充硫醇、脂肪酸等关键化合物的检测，并积累原始 0–6 评分数据以提升哨兵维度（如 DMS、双乙酰）的建模精度。</w:t>
      </w:r>
    </w:p>
    <w:p>
      <w:pPr>
        <w:keepNext/>
        <w:spacing w:before="240" w:after="120"/>
        <w:jc w:val="left"/>
      </w:pPr>
      <w:r>
        <w:rPr>
          <w:rFonts w:ascii="Times New Roman" w:hAnsi="Times New Roman" w:eastAsia="黑体"/>
          <w:b/>
          <w:sz w:val="30"/>
        </w:rPr>
        <w:t>参考文献</w:t>
      </w:r>
    </w:p>
    <w:p>
      <w:pPr>
        <w:spacing w:after="40"/>
        <w:ind w:left="340" w:hanging="340"/>
      </w:pPr>
      <w:r>
        <w:rPr>
          <w:rFonts w:ascii="Times New Roman" w:hAnsi="Times New Roman" w:eastAsia="宋体"/>
          <w:b w:val="0"/>
          <w:sz w:val="19"/>
        </w:rPr>
        <w:t>[1] Schreurs M, Piampongsant S, Roncoroni M, et al. Predicting and improving complex beer flavor through machine learning. Nature Communications, 15: 2368, 2024.</w:t>
      </w:r>
    </w:p>
    <w:p>
      <w:pPr>
        <w:spacing w:after="40"/>
        <w:ind w:left="340" w:hanging="340"/>
      </w:pPr>
      <w:r>
        <w:rPr>
          <w:rFonts w:ascii="Times New Roman" w:hAnsi="Times New Roman" w:eastAsia="宋体"/>
          <w:b w:val="0"/>
          <w:sz w:val="19"/>
        </w:rPr>
        <w:t>[2] MathorCup 数学应用挑战赛组委会. 2026 年 MathorCup 大数据挑战赛赛道 A 初赛赛题. 2026.</w:t>
      </w:r>
    </w:p>
    <w:p>
      <w:pPr>
        <w:spacing w:after="40"/>
        <w:ind w:left="340" w:hanging="340"/>
      </w:pPr>
      <w:r>
        <w:rPr>
          <w:rFonts w:ascii="Times New Roman" w:hAnsi="Times New Roman" w:eastAsia="宋体"/>
          <w:b w:val="0"/>
          <w:sz w:val="19"/>
        </w:rPr>
        <w:t>[3] Schreurs M, et al. Data from: Predicting and improving complex beer flavor through machine learning. Zenodo, https://zenodo.org/records/10653704, 2024-01-15.</w:t>
      </w:r>
    </w:p>
    <w:p>
      <w:pPr>
        <w:spacing w:after="40"/>
        <w:ind w:left="340" w:hanging="340"/>
      </w:pPr>
      <w:r>
        <w:rPr>
          <w:rFonts w:ascii="Times New Roman" w:hAnsi="Times New Roman" w:eastAsia="宋体"/>
          <w:b w:val="0"/>
          <w:sz w:val="19"/>
        </w:rPr>
        <w:t>[4] Meinshausen N, Bühlmann P. Stability selection. Journal of the Royal Statistical Society: Series B, 72(4): 417–473, 2010.</w:t>
      </w:r>
    </w:p>
    <w:p>
      <w:pPr>
        <w:spacing w:after="40"/>
        <w:ind w:left="340" w:hanging="340"/>
      </w:pPr>
      <w:r>
        <w:rPr>
          <w:rFonts w:ascii="Times New Roman" w:hAnsi="Times New Roman" w:eastAsia="宋体"/>
          <w:b w:val="0"/>
          <w:sz w:val="19"/>
        </w:rPr>
        <w:t>[5] Langfelder P, Horvath S. WGCNA: an R package for weighted correlation network analysis. BMC Bioinformatics, 9: 559, 2008.</w:t>
      </w:r>
    </w:p>
    <w:p>
      <w:pPr>
        <w:spacing w:after="40"/>
        <w:ind w:left="340" w:hanging="340"/>
      </w:pPr>
      <w:r>
        <w:rPr>
          <w:rFonts w:ascii="Times New Roman" w:hAnsi="Times New Roman" w:eastAsia="宋体"/>
          <w:b w:val="0"/>
          <w:sz w:val="19"/>
        </w:rPr>
        <w:t>[6] Blondel V D, Guillaume J L, Lambiotte R, et al. Fast unfolding of communities in large networks. Journal of Statistical Mechanics: Theory and Experiment, 2008: P10008, 2008.</w:t>
      </w:r>
    </w:p>
    <w:p>
      <w:pPr>
        <w:spacing w:after="40"/>
        <w:ind w:left="340" w:hanging="340"/>
      </w:pPr>
      <w:r>
        <w:rPr>
          <w:rFonts w:ascii="Times New Roman" w:hAnsi="Times New Roman" w:eastAsia="宋体"/>
          <w:b w:val="0"/>
          <w:sz w:val="19"/>
        </w:rPr>
        <w:t>[7] Kingma D P, Welling M. Auto-encoding variational Bayes. ICLR, 2014.</w:t>
      </w:r>
    </w:p>
    <w:p>
      <w:pPr>
        <w:spacing w:after="40"/>
        <w:ind w:left="340" w:hanging="340"/>
      </w:pPr>
      <w:r>
        <w:rPr>
          <w:rFonts w:ascii="Times New Roman" w:hAnsi="Times New Roman" w:eastAsia="宋体"/>
          <w:b w:val="0"/>
          <w:sz w:val="19"/>
        </w:rPr>
        <w:t>[8] Sohn K, Lee H, Yan X. Learning structured output representation using deep conditional generative models. NIPS, 2015.</w:t>
      </w:r>
    </w:p>
    <w:p>
      <w:pPr>
        <w:spacing w:after="40"/>
        <w:ind w:left="340" w:hanging="340"/>
      </w:pPr>
      <w:r>
        <w:rPr>
          <w:rFonts w:ascii="Times New Roman" w:hAnsi="Times New Roman" w:eastAsia="宋体"/>
          <w:b w:val="0"/>
          <w:sz w:val="19"/>
        </w:rPr>
        <w:t>[9] van der Maaten L, Hinton G. Visualizing data using t-SNE. Journal of Machine Learning Research, 9: 2579–2605, 2008.</w:t>
      </w:r>
    </w:p>
    <w:p>
      <w:pPr>
        <w:spacing w:after="40"/>
        <w:ind w:left="340" w:hanging="340"/>
      </w:pPr>
      <w:r>
        <w:rPr>
          <w:rFonts w:ascii="Times New Roman" w:hAnsi="Times New Roman" w:eastAsia="宋体"/>
          <w:b w:val="0"/>
          <w:sz w:val="19"/>
        </w:rPr>
        <w:t>[10] 司守奎, 孙玺菁. 数学建模算法与应用. 北京: 国防工业出版社, 2011.</w:t>
      </w:r>
    </w:p>
    <w:p>
      <w:pPr>
        <w:spacing w:after="40"/>
        <w:ind w:left="340" w:hanging="340"/>
      </w:pPr>
      <w:r>
        <w:rPr>
          <w:rFonts w:ascii="Times New Roman" w:hAnsi="Times New Roman" w:eastAsia="宋体"/>
          <w:b w:val="0"/>
          <w:sz w:val="19"/>
        </w:rPr>
        <w:t>[11] Polozoff S. Top Beer Information. Kaggle, https://www.kaggle.com/datasets/stephenpolozoff/top-beer-information, 2024.</w:t>
      </w:r>
    </w:p>
    <w:p>
      <w:pPr>
        <w:spacing w:after="40"/>
        <w:ind w:left="340" w:hanging="340"/>
      </w:pPr>
      <w:r>
        <w:rPr>
          <w:rFonts w:ascii="Times New Roman" w:hAnsi="Times New Roman" w:eastAsia="宋体"/>
          <w:b w:val="0"/>
          <w:sz w:val="19"/>
        </w:rPr>
        <w:t>[12] DeepSeek, DeepSeek-V3.2, 深度求索（DeepSeek）, 2026-10-23.</w:t>
      </w:r>
    </w:p>
    <w:p>
      <w:pPr>
        <w:keepNext/>
        <w:spacing w:before="240" w:after="120"/>
        <w:jc w:val="left"/>
      </w:pPr>
      <w:r>
        <w:rPr>
          <w:rFonts w:ascii="Times New Roman" w:hAnsi="Times New Roman" w:eastAsia="黑体"/>
          <w:b/>
          <w:sz w:val="30"/>
        </w:rPr>
        <w:t>AI 工具使用声明</w:t>
      </w:r>
    </w:p>
    <w:p>
      <w:pPr>
        <w:spacing w:before="0" w:after="60"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按照《MathorCup 数学应用挑战赛人工智能工具使用规定（试行）》的要求，本参赛队声明：本作品在完成过程中使用了人工智能工具 DeepSeek（版本 DeepSeek-V3.2，开发机构：深度求索）作为辅助手段，使用日期为 2026 年 10 月 23 日。具体使用场景包括：数据分析脚本的辅助编写与调试、若干图表的绘制脚本、以及论文部分文字的润色与排版。论文的核心建模思路、算法设计、参数选择、结果分析与结论均由参赛队独立完成，并对 AI 生成内容进行了逐项验证、修改与复核。</w:t>
      </w:r>
    </w:p>
    <w:p>
      <w:pPr>
        <w:spacing w:before="0" w:after="60"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依据规定，本队在支撑材料中提供了《AI工具使用详情说明.pdf》，其中列明所用工具名称与版本、具体使用目的与应用环节、关键交互记录以及采纳与人工修改情况。论文中由 AI 辅助生成的内容已在相应位置注明，相应的代码注释中也标注了 AI 辅助情况。</w:t>
      </w:r>
    </w:p>
    <w:p>
      <w:pPr>
        <w:spacing w:before="0" w:after="60"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本队对论文内容的真实性、可靠性与学术规范性负责。</w:t>
      </w:r>
    </w:p>
    <w:p>
      <w:pPr>
        <w:keepNext/>
        <w:spacing w:before="240" w:after="120"/>
        <w:jc w:val="left"/>
      </w:pPr>
      <w:r>
        <w:rPr>
          <w:rFonts w:ascii="Times New Roman" w:hAnsi="Times New Roman" w:eastAsia="黑体"/>
          <w:b/>
          <w:sz w:val="30"/>
        </w:rPr>
        <w:t>附录 A  软件环境、运行命令与核心代码</w:t>
      </w:r>
    </w:p>
    <w:p>
      <w:pPr>
        <w:keepNext/>
        <w:spacing w:before="160" w:after="80"/>
      </w:pPr>
      <w:r>
        <w:rPr>
          <w:rFonts w:ascii="Times New Roman" w:hAnsi="Times New Roman" w:eastAsia="黑体"/>
          <w:b/>
          <w:sz w:val="24"/>
        </w:rPr>
        <w:t>A.1 软件环境</w:t>
      </w:r>
    </w:p>
    <w:p>
      <w:pPr>
        <w:spacing w:before="0" w:after="60"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操作系统：Windows 11；程序设计语言：Python 3.13（主环境）与 Python 3.12（Office 文档环境）；主要依赖库：numpy 2.4、pandas 3.0、scipy 1.18、scikit-learn 1.9、matplotlib 3.10、networkx 3.6、torch 2.11（CPU 训练）、python-docx 1.2；文档转换：LibreOffice（docx→pdf）、pdftotext（文本抽取）。</w:t>
      </w:r>
    </w:p>
    <w:p>
      <w:pPr>
        <w:keepNext/>
        <w:spacing w:before="160" w:after="80"/>
      </w:pPr>
      <w:r>
        <w:rPr>
          <w:rFonts w:ascii="Times New Roman" w:hAnsi="Times New Roman" w:eastAsia="黑体"/>
          <w:b/>
          <w:sz w:val="24"/>
        </w:rPr>
        <w:t>A.2 运行命令</w:t>
      </w:r>
    </w:p>
    <w:p>
      <w:pPr>
        <w:spacing w:before="0" w:after="60"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全部代码位于支撑材料 code/ 目录，按序号顺序运行即可复现论文全部结果：</w:t>
      </w:r>
    </w:p>
    <w:p>
      <w:pPr>
        <w:spacing w:after="20"/>
        <w:ind w:left="340"/>
      </w:pPr>
      <w:r>
        <w:rPr>
          <w:rFonts w:ascii="Consolas" w:hAnsi="Consolas" w:eastAsia="宋体"/>
          <w:b w:val="0"/>
          <w:sz w:val="17"/>
        </w:rPr>
        <w:t>python 10_preprocess.py        # 数据核验（相关性类型、对数底数、量纲）</w:t>
      </w:r>
    </w:p>
    <w:p>
      <w:pPr>
        <w:spacing w:after="20"/>
        <w:ind w:left="340"/>
      </w:pPr>
      <w:r>
        <w:rPr>
          <w:rFonts w:ascii="Consolas" w:hAnsi="Consolas" w:eastAsia="宋体"/>
          <w:b w:val="0"/>
          <w:sz w:val="17"/>
        </w:rPr>
        <w:t>python 20_dataset.py           # 缺失填补、秩-高斯变换、0–6 等级反演参数拟合</w:t>
      </w:r>
    </w:p>
    <w:p>
      <w:pPr>
        <w:spacing w:after="20"/>
        <w:ind w:left="340"/>
      </w:pPr>
      <w:r>
        <w:rPr>
          <w:rFonts w:ascii="Consolas" w:hAnsi="Consolas" w:eastAsia="宋体"/>
          <w:b w:val="0"/>
          <w:sz w:val="17"/>
        </w:rPr>
        <w:t>python 21_q1.py                # 问题 1：多模型交叉验证、缺失鲁棒性、OOF 预测</w:t>
      </w:r>
    </w:p>
    <w:p>
      <w:pPr>
        <w:spacing w:after="20"/>
        <w:ind w:left="340"/>
      </w:pPr>
      <w:r>
        <w:rPr>
          <w:rFonts w:ascii="Consolas" w:hAnsi="Consolas" w:eastAsia="宋体"/>
          <w:b w:val="0"/>
          <w:sz w:val="17"/>
        </w:rPr>
        <w:t>python 22_inversion_validation.py  # 0–6 等级反演的仿真验证</w:t>
      </w:r>
    </w:p>
    <w:p>
      <w:pPr>
        <w:spacing w:after="20"/>
        <w:ind w:left="340"/>
      </w:pPr>
      <w:r>
        <w:rPr>
          <w:rFonts w:ascii="Consolas" w:hAnsi="Consolas" w:eastAsia="宋体"/>
          <w:b w:val="0"/>
          <w:sz w:val="17"/>
        </w:rPr>
        <w:t>python 23_finalize_q1.py       # 生成 0–6 评分、填制 3.xlsx 官方评分表</w:t>
      </w:r>
    </w:p>
    <w:p>
      <w:pPr>
        <w:spacing w:after="20"/>
        <w:ind w:left="340"/>
      </w:pPr>
      <w:r>
        <w:rPr>
          <w:rFonts w:ascii="Consolas" w:hAnsi="Consolas" w:eastAsia="宋体"/>
          <w:b w:val="0"/>
          <w:sz w:val="17"/>
        </w:rPr>
        <w:t>python 24_q2.py                # 问题 2：共表达图、Top-3、bootstrap 稳定性、合理性检验</w:t>
      </w:r>
    </w:p>
    <w:p>
      <w:pPr>
        <w:spacing w:after="20"/>
        <w:ind w:left="340"/>
      </w:pPr>
      <w:r>
        <w:rPr>
          <w:rFonts w:ascii="Consolas" w:hAnsi="Consolas" w:eastAsia="宋体"/>
          <w:b w:val="0"/>
          <w:sz w:val="17"/>
        </w:rPr>
        <w:t>python 25_q3.py                # 问题 3：PPCA/CVAE 生成、三风格画像、跨风格迁移</w:t>
      </w:r>
    </w:p>
    <w:p>
      <w:pPr>
        <w:spacing w:after="20"/>
        <w:ind w:left="340"/>
      </w:pPr>
      <w:r>
        <w:rPr>
          <w:rFonts w:ascii="Consolas" w:hAnsi="Consolas" w:eastAsia="宋体"/>
          <w:b w:val="0"/>
          <w:sz w:val="17"/>
        </w:rPr>
        <w:t>python 50_build_paper.py       # 生成本论文 DOCX</w:t>
      </w:r>
    </w:p>
    <w:p>
      <w:pPr>
        <w:spacing w:before="0" w:after="60"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注：随机种子已在各脚本中固定（2026/0/42 等），结果可完全复现。</w:t>
      </w:r>
    </w:p>
    <w:p>
      <w:pPr>
        <w:keepNext/>
        <w:spacing w:before="160" w:after="80"/>
      </w:pPr>
      <w:r>
        <w:rPr>
          <w:rFonts w:ascii="Times New Roman" w:hAnsi="Times New Roman" w:eastAsia="黑体"/>
          <w:b/>
          <w:sz w:val="24"/>
        </w:rPr>
        <w:t>A.3 核心代码</w:t>
      </w:r>
    </w:p>
    <w:p>
      <w:pPr>
        <w:spacing w:before="0" w:after="60"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以下给出问题 1 的等级反演、问题 2 的秩聚合与问题 3 的缺陷约束投影三段核心代码（完整代码见支撑材料）。</w:t>
      </w:r>
    </w:p>
    <w:p>
      <w:pPr>
        <w:spacing w:before="80"/>
      </w:pPr>
      <w:r>
        <w:rPr>
          <w:rFonts w:ascii="Times New Roman" w:hAnsi="Times New Roman" w:eastAsia="宋体"/>
          <w:b/>
          <w:sz w:val="19"/>
        </w:rPr>
        <w:t>（1）0–6 等级反演（common.py）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5"/>
        </w:rPr>
        <w:t>def fit_ordinal_inversion(y, K=7, n_grid=10, n_iter=120):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5"/>
        </w:rPr>
        <w:t xml:space="preserve">    """等距等级潜变量模型：y ~ sum_k w_k N(a+b*k, sigma^2)，两阶段网格+EM。"""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5"/>
        </w:rPr>
        <w:t xml:space="preserve">    from scipy.stats import norm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5"/>
        </w:rPr>
        <w:t xml:space="preserve">    y = y[np.isfinite(y)]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5"/>
        </w:rPr>
        <w:t xml:space="preserve">    ymin, ymax = y.min(), y.max(); rng = ymax - ymin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5"/>
        </w:rPr>
        <w:t xml:space="preserve">    ks = np.arange(K, dtype=float)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5"/>
        </w:rPr>
        <w:t xml:space="preserve">    def em(a, b, sigma, n_it):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5"/>
        </w:rPr>
        <w:t xml:space="preserve">        mu = a + b * ks; w = np.ones(K) / K; ll_old = -np.inf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5"/>
        </w:rPr>
        <w:t xml:space="preserve">        for _ in range(n_it):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5"/>
        </w:rPr>
        <w:t xml:space="preserve">            logp = np.log(w + 1e-12)[None, :] + norm.logpdf(y[:, None], mu[None, :], sigma)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5"/>
        </w:rPr>
        <w:t xml:space="preserve">            m = logp.max(axis=1, keepdims=True)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5"/>
        </w:rPr>
        <w:t xml:space="preserve">            resp = np.exp(logp - m); s = resp.sum(axis=1, keepdims=True)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5"/>
        </w:rPr>
        <w:t xml:space="preserve">            ll = float((np.log(s) + m).sum()); sw = resp / s; w = sw.mean(axis=0)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5"/>
        </w:rPr>
        <w:t xml:space="preserve">            N = sw.sum(); Sk = (sw * ks[None, :]).sum(); Skk = (sw * ks[None, :] ** 2).sum()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5"/>
        </w:rPr>
        <w:t xml:space="preserve">            Sy = (sw * y[:, None]).sum(); Syk = (sw * y[:, None] * ks[None, :]).sum()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5"/>
        </w:rPr>
        <w:t xml:space="preserve">            det = N * Skk - Sk * Sk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5"/>
        </w:rPr>
        <w:t xml:space="preserve">            a = (Sy * Skk - Sk * Syk) / det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5"/>
        </w:rPr>
        <w:t xml:space="preserve">            b = max((N * Syk - Sk * Sy) / det, 1e-6)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5"/>
        </w:rPr>
        <w:t xml:space="preserve">            mu = a + b * ks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5"/>
        </w:rPr>
        <w:t xml:space="preserve">            sigma = max(np.sqrt((sw * (y[:, None] - mu[None, :]) ** 2).sum() / N), 0.02 * rng)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5"/>
        </w:rPr>
        <w:t xml:space="preserve">            if abs(ll - ll_old) &lt; 1e-8: break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5"/>
        </w:rPr>
        <w:t xml:space="preserve">            ll_old = ll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5"/>
        </w:rPr>
        <w:t xml:space="preserve">        return dict(a=a, b=b, sigma=sigma, w=w.copy(), ll=ll)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5"/>
        </w:rPr>
        <w:t xml:space="preserve">    best = None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5"/>
        </w:rPr>
        <w:t xml:space="preserve">    for a0 in np.linspace(ymin - 0.1 * rng, ymin + 0.7 * rng, n_grid):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5"/>
        </w:rPr>
        <w:t xml:space="preserve">        for b0 in np.linspace(0.12 * rng, 0.85 * rng, n_grid):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5"/>
        </w:rPr>
        <w:t xml:space="preserve">            r = em(a0, b0, 0.3 * b0 + 1e-9, 25)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5"/>
        </w:rPr>
        <w:t xml:space="preserve">            if best is None or r['ll'] &gt; best['ll']: best = r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5"/>
        </w:rPr>
        <w:t xml:space="preserve">    # 阶段二：局部细化（略），最后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5"/>
        </w:rPr>
        <w:t xml:space="preserve">    x = (y - best['a']) / best['b']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5"/>
        </w:rPr>
        <w:t xml:space="preserve">    return dict(best, grade=np.clip(np.round(x), 0, 6).astype(int))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80"/>
      </w:pPr>
      <w:r>
        <w:rPr>
          <w:rFonts w:ascii="Times New Roman" w:hAnsi="Times New Roman" w:eastAsia="宋体"/>
          <w:b/>
          <w:sz w:val="19"/>
        </w:rPr>
        <w:t>（2）多方法加权 Borda 秩聚合（24_q2.py）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5"/>
        </w:rPr>
        <w:t>METHOD_W = {'M1-Spearman': 2.0, 'M2-MultiTaskLasso': 1.0, 'M3-ExtraTrees': 1.0,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5"/>
        </w:rPr>
        <w:t xml:space="preserve">            'M4-GraphPageRank': 1.0, 'M5-ModuleEigengene': 1.0}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5"/>
        </w:rPr>
        <w:t>def aggregate(methods):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5"/>
        </w:rPr>
        <w:t xml:space="preserve">    """单变量初筛（每维前 25）+ 加权 Borda 秩聚合，输出越小越重要。"""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5"/>
        </w:rPr>
        <w:t xml:space="preserve">    m1 = methods['M1-Spearman']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5"/>
        </w:rPr>
        <w:t xml:space="preserve">    mask = np.zeros_like(m1, dtype=bool)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5"/>
        </w:rPr>
        <w:t xml:space="preserve">    for j in range(m1.shape[1]):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5"/>
        </w:rPr>
        <w:t xml:space="preserve">        mask[np.argsort(-m1[:, j])[:25], j] = True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5"/>
        </w:rPr>
        <w:t xml:space="preserve">    out = np.zeros_like(m1)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5"/>
        </w:rPr>
        <w:t xml:space="preserve">    for k, m in methods.items():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5"/>
        </w:rPr>
        <w:t xml:space="preserve">        w = METHOD_W.get(k, 1.0)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5"/>
        </w:rPr>
        <w:t xml:space="preserve">        for j in range(m.shape[1]):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5"/>
        </w:rPr>
        <w:t xml:space="preserve">            vals = m[:, j].copy(); vals[~mask[:, j]] = -1e12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5"/>
        </w:rPr>
        <w:t xml:space="preserve">            out[:, j] += w * rankdata(-vals, method='average')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5"/>
        </w:rPr>
        <w:t xml:space="preserve">    return out / sum(METHOD_W.get(k, 1.0) for k in methods)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80"/>
      </w:pPr>
      <w:r>
        <w:rPr>
          <w:rFonts w:ascii="Times New Roman" w:hAnsi="Times New Roman" w:eastAsia="宋体"/>
          <w:b/>
          <w:sz w:val="19"/>
        </w:rPr>
        <w:t>（3）缺陷约束投影（25_q3.py）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5"/>
        </w:rPr>
        <w:t>def correct_defects(Zcand, D_cap):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5"/>
        </w:rPr>
        <w:t xml:space="preserve">    """缺陷约束投影：把 4 个缺陷化合物浓度截断到 D_cap*阈值，保证缺陷不恶化。"""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5"/>
        </w:rPr>
        <w:t xml:space="preserve">    Zc = Zcand.copy(); Vc = Zc * SD + MU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5"/>
        </w:rPr>
        <w:t xml:space="preserve">    for k, (c, typ, thr, unit) in enumerate(DEFECT):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5"/>
        </w:rPr>
        <w:t xml:space="preserve">        j = IDX[c]; v = Vc[:, j]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5"/>
        </w:rPr>
        <w:t xml:space="preserve">        conc = 10 ** np.clip(v, -20, 20) - (EPS if typ != 'log10' else 0.0)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5"/>
        </w:rPr>
        <w:t xml:space="preserve">        conc = np.clip(conc, 1e-12, None)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5"/>
        </w:rPr>
        <w:t xml:space="preserve">        conc_new = np.minimum(conc, np.maximum(D_cap[:, k] * thr, 1e-12))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5"/>
        </w:rPr>
        <w:t xml:space="preserve">        Vc[:, j] = np.log10(conc_new + (EPS if typ != 'log10' else 0.0))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5"/>
        </w:rPr>
        <w:t xml:space="preserve">    return (Vc - MU) / SD</w:t>
      </w:r>
    </w:p>
    <w:p>
      <w:pPr>
        <w:spacing w:after="0" w:line="240" w:lineRule="auto"/>
        <w:ind w:left="283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/>
        <w:spacing w:before="240" w:after="120"/>
        <w:jc w:val="left"/>
      </w:pPr>
      <w:r>
        <w:rPr>
          <w:rFonts w:ascii="Times New Roman" w:hAnsi="Times New Roman" w:eastAsia="黑体"/>
          <w:b/>
          <w:sz w:val="30"/>
        </w:rPr>
        <w:t>附录 B  补充结果表</w:t>
      </w:r>
    </w:p>
    <w:p>
      <w:pPr>
        <w:keepNext/>
        <w:spacing w:before="160" w:after="80"/>
      </w:pPr>
      <w:r>
        <w:rPr>
          <w:rFonts w:ascii="Times New Roman" w:hAnsi="Times New Roman" w:eastAsia="黑体"/>
          <w:b/>
          <w:sz w:val="24"/>
        </w:rPr>
        <w:t>B.1 问题 1 逐维度预测指标</w:t>
      </w:r>
    </w:p>
    <w:p>
      <w:pPr>
        <w:spacing w:before="40" w:after="160"/>
        <w:jc w:val="center"/>
      </w:pPr>
      <w:r>
        <w:rPr>
          <w:rFonts w:ascii="Times New Roman" w:hAnsi="Times New Roman" w:eastAsia="宋体"/>
          <w:b w:val="0"/>
          <w:sz w:val="19"/>
        </w:rPr>
        <w:t>表 B-1  问题 1 的 50 个感官维度预测指标（极端随机树，OOF）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5"/>
              </w:rPr>
              <w:t>感官维度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5"/>
              </w:rPr>
              <w:t>类别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5"/>
              </w:rPr>
              <w:t>R²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5"/>
              </w:rPr>
              <w:t>MAE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5"/>
              </w:rPr>
              <w:t>Spearman</w:t>
            </w:r>
          </w:p>
        </w:tc>
      </w:tr>
      <w:tr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酸度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Other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0.697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0.304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0.556</w:t>
            </w:r>
          </w:p>
        </w:tc>
      </w:tr>
      <w:tr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酒精感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Other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0.697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0.337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0.845</w:t>
            </w:r>
          </w:p>
        </w:tc>
      </w:tr>
      <w:tr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乳酸味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Other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0.656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0.220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0.494</w:t>
            </w:r>
          </w:p>
        </w:tc>
      </w:tr>
      <w:tr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乙酸味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Other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0.635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0.204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0.406</w:t>
            </w:r>
          </w:p>
        </w:tc>
      </w:tr>
      <w:tr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苦度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Other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0.589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0.362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0.780</w:t>
            </w:r>
          </w:p>
        </w:tc>
      </w:tr>
      <w:tr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酒体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Other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0.523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0.302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0.736</w:t>
            </w:r>
          </w:p>
        </w:tc>
      </w:tr>
      <w:tr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酒花味-总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Flavour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0.502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0.391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0.716</w:t>
            </w:r>
          </w:p>
        </w:tc>
      </w:tr>
      <w:tr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后味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Other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0.494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0.342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0.705</w:t>
            </w:r>
          </w:p>
        </w:tc>
      </w:tr>
      <w:tr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麦芽味-总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Flavour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0.485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0.388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0.709</w:t>
            </w:r>
          </w:p>
        </w:tc>
      </w:tr>
      <w:tr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麦芽香-总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Aroma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0.409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0.431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0.657</w:t>
            </w:r>
          </w:p>
        </w:tc>
      </w:tr>
      <w:tr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麦芽味-烟熏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Flavour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0.399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0.343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0.614</w:t>
            </w:r>
          </w:p>
        </w:tc>
      </w:tr>
      <w:tr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酒花味-草本干草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Flavour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0.381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0.359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0.651</w:t>
            </w:r>
          </w:p>
        </w:tc>
      </w:tr>
      <w:tr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酒花香-总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Aroma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0.344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0.401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0.604</w:t>
            </w:r>
          </w:p>
        </w:tc>
      </w:tr>
      <w:tr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麦芽味-焦糖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Flavour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0.328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0.350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0.599</w:t>
            </w:r>
          </w:p>
        </w:tc>
      </w:tr>
      <w:tr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麦芽香-焦糖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Aroma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0.308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0.381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0.593</w:t>
            </w:r>
          </w:p>
        </w:tc>
      </w:tr>
      <w:tr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碳酸感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Other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0.308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0.400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0.570</w:t>
            </w:r>
          </w:p>
        </w:tc>
      </w:tr>
      <w:tr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酯味-总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Flavour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0.307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0.385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0.566</w:t>
            </w:r>
          </w:p>
        </w:tc>
      </w:tr>
      <w:tr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麦芽香-烟熏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Aroma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0.291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0.339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0.351</w:t>
            </w:r>
          </w:p>
        </w:tc>
      </w:tr>
      <w:tr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酒花香-草本干草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Aroma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0.291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0.345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0.565</w:t>
            </w:r>
          </w:p>
        </w:tc>
      </w:tr>
      <w:tr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甜度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Other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0.274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0.429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0.569</w:t>
            </w:r>
          </w:p>
        </w:tc>
      </w:tr>
      <w:tr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麦芽味-面包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Flavour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0.249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0.320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0.575</w:t>
            </w:r>
          </w:p>
        </w:tc>
      </w:tr>
      <w:tr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酯味-溶剂指甲油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Flavour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0.230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0.334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0.494</w:t>
            </w:r>
          </w:p>
        </w:tc>
      </w:tr>
      <w:tr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酒花味-柑橘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Flavour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0.226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0.299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0.405</w:t>
            </w:r>
          </w:p>
        </w:tc>
      </w:tr>
      <w:tr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酯香-总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Aroma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0.206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0.426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0.465</w:t>
            </w:r>
          </w:p>
        </w:tc>
      </w:tr>
      <w:tr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4-乙烯基愈创木酚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Other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0.206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0.387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0.536</w:t>
            </w:r>
          </w:p>
        </w:tc>
      </w:tr>
      <w:tr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酒花味-热带水果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Flavour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0.169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0.303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0.390</w:t>
            </w:r>
          </w:p>
        </w:tc>
      </w:tr>
      <w:tr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酒花味-木质松脂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Flavour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0.164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0.308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0.446</w:t>
            </w:r>
          </w:p>
        </w:tc>
      </w:tr>
      <w:tr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酯香-溶剂指甲油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Aroma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0.163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0.364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0.394</w:t>
            </w:r>
          </w:p>
        </w:tc>
      </w:tr>
      <w:tr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酒花香-柑橘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Aroma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0.162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0.336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0.415</w:t>
            </w:r>
          </w:p>
        </w:tc>
      </w:tr>
      <w:tr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酯味-香蕉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Flavour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0.138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0.390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0.391</w:t>
            </w:r>
          </w:p>
        </w:tc>
      </w:tr>
      <w:tr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芫荽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Other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0.136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0.239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0.128</w:t>
            </w:r>
          </w:p>
        </w:tc>
      </w:tr>
      <w:tr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酯味-果香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Flavour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0.128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0.333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0.318</w:t>
            </w:r>
          </w:p>
        </w:tc>
      </w:tr>
      <w:tr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反-2-壬烯醛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Other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0.126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0.295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0.213</w:t>
            </w:r>
          </w:p>
        </w:tc>
      </w:tr>
      <w:tr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总体喜好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Other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0.121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0.401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0.272</w:t>
            </w:r>
          </w:p>
        </w:tc>
      </w:tr>
      <w:tr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酒花香-热带水果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Aroma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0.118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0.348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0.284</w:t>
            </w:r>
          </w:p>
        </w:tc>
      </w:tr>
      <w:tr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金属味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Other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0.117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0.357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0.363</w:t>
            </w:r>
          </w:p>
        </w:tc>
      </w:tr>
      <w:tr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麦芽香-面包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Aroma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0.115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0.342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0.406</w:t>
            </w:r>
          </w:p>
        </w:tc>
      </w:tr>
      <w:tr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酒花香-木质松脂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Aroma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0.083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0.264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0.245</w:t>
            </w:r>
          </w:p>
        </w:tc>
      </w:tr>
      <w:tr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酯香-香蕉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Aroma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0.082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0.403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0.300</w:t>
            </w:r>
          </w:p>
        </w:tc>
      </w:tr>
      <w:tr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麦芽香-谷物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Aroma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0.081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0.331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0.244</w:t>
            </w:r>
          </w:p>
        </w:tc>
      </w:tr>
      <w:tr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橙味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Other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0.074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0.347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0.310</w:t>
            </w:r>
          </w:p>
        </w:tc>
      </w:tr>
      <w:tr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双乙酰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Other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0.070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0.372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0.274</w:t>
            </w:r>
          </w:p>
        </w:tc>
      </w:tr>
      <w:tr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麦芽味-谷物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Flavour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0.068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0.337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0.256</w:t>
            </w:r>
          </w:p>
        </w:tc>
      </w:tr>
      <w:tr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酯香-果香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Aroma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0.053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0.346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0.137</w:t>
            </w:r>
          </w:p>
        </w:tc>
      </w:tr>
      <w:tr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二甲基硫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Other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0.044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0.369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0.229</w:t>
            </w:r>
          </w:p>
        </w:tc>
      </w:tr>
      <w:tr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丁香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Other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0.043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0.262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0.270</w:t>
            </w:r>
          </w:p>
        </w:tc>
      </w:tr>
      <w:tr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酯香-花香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Aroma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0.042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0.311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0.209</w:t>
            </w:r>
          </w:p>
        </w:tc>
      </w:tr>
      <w:tr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畜棚味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Other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0.039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0.308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0.226</w:t>
            </w:r>
          </w:p>
        </w:tc>
      </w:tr>
      <w:tr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酯味-花香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Flavour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0.030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0.293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0.163</w:t>
            </w:r>
          </w:p>
        </w:tc>
      </w:tr>
      <w:tr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陈酒花味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Other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0.024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0.306</w:t>
            </w:r>
          </w:p>
        </w:tc>
        <w:tc>
          <w:tcPr>
            <w:tcW w:type="dxa" w:w="17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0.185</w:t>
            </w:r>
          </w:p>
        </w:tc>
      </w:tr>
    </w:tbl>
    <w:p>
      <w:pPr>
        <w:spacing w:after="40"/>
      </w:pPr>
    </w:p>
    <w:p>
      <w:pPr>
        <w:keepNext/>
        <w:spacing w:before="160" w:after="80"/>
      </w:pPr>
      <w:r>
        <w:rPr>
          <w:rFonts w:ascii="Times New Roman" w:hAnsi="Times New Roman" w:eastAsia="黑体"/>
          <w:b/>
          <w:sz w:val="24"/>
        </w:rPr>
        <w:t>B.2 问题 2 全部维度的 Top-3 关键化合物</w:t>
      </w:r>
    </w:p>
    <w:p>
      <w:pPr>
        <w:spacing w:before="40" w:after="160"/>
        <w:jc w:val="center"/>
      </w:pPr>
      <w:r>
        <w:rPr>
          <w:rFonts w:ascii="Times New Roman" w:hAnsi="Times New Roman" w:eastAsia="宋体"/>
          <w:b w:val="0"/>
          <w:sz w:val="19"/>
        </w:rPr>
        <w:t>表 B-2  50 个感官维度的 Top-3 关键化合物（稳定性为 bootstrap 平均入选频率）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4"/>
              </w:rPr>
              <w:t>感官维度</w:t>
            </w:r>
          </w:p>
        </w:tc>
        <w:tc>
          <w:tcPr>
            <w:tcW w:type="dxa" w:w="2494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4"/>
              </w:rPr>
              <w:t>Top-1</w:t>
            </w:r>
          </w:p>
        </w:tc>
        <w:tc>
          <w:tcPr>
            <w:tcW w:type="dxa" w:w="2494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4"/>
              </w:rPr>
              <w:t>Top-2</w:t>
            </w:r>
          </w:p>
        </w:tc>
        <w:tc>
          <w:tcPr>
            <w:tcW w:type="dxa" w:w="2494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4"/>
              </w:rPr>
              <w:t>Top-3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4"/>
              </w:rPr>
              <w:t>稳定性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麦芽香-总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Ethanol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Acetaldehyde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Beta-phellandrene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0.62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麦芽香-谷物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Beta-phellandrene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Terpinen-4-ol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Isoborneol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0.49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麦芽香-面包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Ethanol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Glycerol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Acetaldehyde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0.39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麦芽香-焦糖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Acetaldehyde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Ethanol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2-ethyl-1-hexanol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0.53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麦芽香-烟熏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Ethanol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Diethyl sulfide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Isobutanol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0.41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酒花香-总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Ethyl octanoate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Ethyl decanoate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E-2-nonenal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0.50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酒花香-柑橘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Citronellol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1,2-dihydro-8-hydroxy-2E-linalool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Humulene epoxide II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0.36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酒花香-热带水果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Beta-phellandrene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Dimethyl sulfide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Methyl geranate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0.41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酒花香-草本干草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Ethyl octanoate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Ethyl decanoate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Isopentyl hexanoate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0.63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酒花香-木质松脂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Trans-dihydro-α-terpinyl acetate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α-calacorene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Ethyl tetradecanoate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0.20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酯香-总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Acetaldehyde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N-hexanol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Ethyl acetate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0.66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酯香-溶剂指甲油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Ethyl acetate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Ethanol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Acetaldehyde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0.52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酯香-香蕉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N-hexanol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Isoamyl acetate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Isoamyl alcohol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0.54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酯香-花香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Beta-phellandrene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N-hexanol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Isobutyl acetate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0.23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酯香-果香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Beta-phellandrene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Eugenol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Neryl formate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0.33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麦芽味-总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Ethanol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Acetaldehyde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Methanethiol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0.73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麦芽味-谷物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Isoborneol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Terpinen-4-ol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Terpinen-4-ol acetate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0.34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麦芽味-面包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Acetaldehyde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Ethanol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Glycerol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0.67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麦芽味-焦糖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Acetaldehyde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Ethanol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N-hexanol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0.74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麦芽味-烟熏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Ethanol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Methanethiol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Iso-alpha acids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0.64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酒花味-总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Ethyl octanoate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Ethanol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Iso-alpha acids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0.63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酒花味-柑橘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Geosmin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Furfural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Ethyl furoate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0.31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酒花味-热带水果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Beta-phellandrene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Geraniol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Dimethyl sulfide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0.38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酒花味-草本干草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Ethyl octanoate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Ethanol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Ethyl decanoate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0.64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酒花味-木质松脂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Iso-alpha acids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Ethyl tetradecanoate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Ethyl decanoate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0.33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酯味-总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Acetaldehyde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Ethyl acetate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Ethanol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0.75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酯味-溶剂指甲油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Ethanol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Ethyl acetate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Acetaldehyde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0.73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酯味-香蕉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N-hexanol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Isoamyl acetate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Acetaldehyde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0.59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酯味-花香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Beta-phellandrene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Eucalyptol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Limonene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0.30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酯味-果香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Diethyl sulfide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Acetic acid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Beta-phellandrene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0.41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酸度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Prenyl isobutyrate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Ethyl phenylacetate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Perillyl acetate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0.55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苦度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Ethyl octanoate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Ethyl decanoate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Ethanol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0.62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甜度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Ethyl decanoate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Pentyl octanoate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2-methylbutyl octanoate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0.45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4-乙烯基愈创木酚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Neryl formate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Prenyl isobutyrate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4-vinylguaiacol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0.55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双乙酰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Ethyl decanoate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Eugenol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Furfural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0.35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二甲基硫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Terpinen-4-ol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E-nerolidol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Car-3-en-2-one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0.11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金属味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Ethyl 3-methylbutyrate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Neryl formate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Methyl heptenone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0.34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陈酒花味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2-undecanol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Gamma-eudesmol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Allo-aromadendrene epoxide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0.46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反-2-壬烯醛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Beta-phellandrene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Geraniol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α-phellandrene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0.28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橙味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Limonene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Camphor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Ethanol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0.61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芫荽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2-methyl-benzofuran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Limonene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Ethyl linalool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0.25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丁香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Limonene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Eucalyptol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Camphor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0.48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乳酸味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Lactic acid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Prenyl isobutyrate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Perillyl acetate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0.56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乙酸味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Prenyl isobutyrate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Ethyl 3-methylbutyrate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Neryl formate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0.66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畜棚味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2-undecanol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Gamma-eudesmol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Allo-aromadendrene epoxide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0.44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酒精感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Ethanol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Ethyl octanoate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Acetaldehyde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0.71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后味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Ethanol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Ethyl octanoate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Ethyl decanoate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0.64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酒体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Ethanol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Ethyl octanoate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Glycerol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0.66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碳酸感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Ethyl octanoate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Ethanol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Ethyl decanoate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0.71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总体喜好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Ethyl acetate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Ethyl octanoate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Ethanol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0.54</w:t>
            </w:r>
          </w:p>
        </w:tc>
      </w:tr>
    </w:tbl>
    <w:p>
      <w:pPr>
        <w:spacing w:after="40"/>
      </w:pPr>
    </w:p>
    <w:p>
      <w:pPr>
        <w:keepNext/>
        <w:spacing w:before="160" w:after="80"/>
      </w:pPr>
      <w:r>
        <w:rPr>
          <w:rFonts w:ascii="Times New Roman" w:hAnsi="Times New Roman" w:eastAsia="黑体"/>
          <w:b/>
          <w:sz w:val="24"/>
        </w:rPr>
        <w:t>B.3 问题 2 主要社区的来源富集检验</w:t>
      </w:r>
    </w:p>
    <w:p>
      <w:pPr>
        <w:spacing w:before="40" w:after="160"/>
        <w:jc w:val="center"/>
      </w:pPr>
      <w:r>
        <w:rPr>
          <w:rFonts w:ascii="Times New Roman" w:hAnsi="Times New Roman" w:eastAsia="宋体"/>
          <w:b w:val="0"/>
          <w:sz w:val="19"/>
        </w:rPr>
        <w:t>表 B-3  共表达社区概况（全部社区）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4"/>
              </w:rPr>
              <w:t>社区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4"/>
              </w:rPr>
              <w:t>规模</w:t>
            </w:r>
          </w:p>
        </w:tc>
        <w:tc>
          <w:tcPr>
            <w:tcW w:type="dxa" w:w="708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4"/>
              </w:rPr>
              <w:t>核心化合物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0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29</w:t>
            </w:r>
          </w:p>
        </w:tc>
        <w:tc>
          <w:tcPr>
            <w:tcW w:type="dxa" w:w="708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ethyl.phenylacetate; prenyl.isobutyrate; neryl.forma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27</w:t>
            </w:r>
          </w:p>
        </w:tc>
        <w:tc>
          <w:tcPr>
            <w:tcW w:type="dxa" w:w="708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nerol.oxide; alpha.calacorene; alpha.muurolol; caryo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23</w:t>
            </w:r>
          </w:p>
        </w:tc>
        <w:tc>
          <w:tcPr>
            <w:tcW w:type="dxa" w:w="708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X.E..beta.ionone; X3.furanmethanol; n.nonanol; ortho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3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19</w:t>
            </w:r>
          </w:p>
        </w:tc>
        <w:tc>
          <w:tcPr>
            <w:tcW w:type="dxa" w:w="708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ethyl..E..linalool; terpinen.4.ol; isoborneol; beta.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4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18</w:t>
            </w:r>
          </w:p>
        </w:tc>
        <w:tc>
          <w:tcPr>
            <w:tcW w:type="dxa" w:w="708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ethanol..v.v.; glycerol; isopentyl_acetate; isobutyl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5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17</w:t>
            </w:r>
          </w:p>
        </w:tc>
        <w:tc>
          <w:tcPr>
            <w:tcW w:type="dxa" w:w="708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pentyl.octanoate; X1.2.dihydro.8.hydroxy..2E..linalo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6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13</w:t>
            </w:r>
          </w:p>
        </w:tc>
        <w:tc>
          <w:tcPr>
            <w:tcW w:type="dxa" w:w="708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 xml:space="preserve">X2.methyl.1.butanol; isopentyl.formate; n.pentanol; 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7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11</w:t>
            </w:r>
          </w:p>
        </w:tc>
        <w:tc>
          <w:tcPr>
            <w:tcW w:type="dxa" w:w="708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X2Z.6E.farnesol; E.nerolidol; X2.3.dihydro.farnesol;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8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7</w:t>
            </w:r>
          </w:p>
        </w:tc>
        <w:tc>
          <w:tcPr>
            <w:tcW w:type="dxa" w:w="708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diethyl.succinate; gamma.nonalactone; ethyl.nicotina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9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</w:t>
            </w:r>
          </w:p>
        </w:tc>
        <w:tc>
          <w:tcPr>
            <w:tcW w:type="dxa" w:w="708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X13.epi.manool.oxide; neo.allo.ocimene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10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</w:t>
            </w:r>
          </w:p>
        </w:tc>
        <w:tc>
          <w:tcPr>
            <w:tcW w:type="dxa" w:w="708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E.methyl.isoeugenol; butylated.hydroxytoluene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11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</w:t>
            </w:r>
          </w:p>
        </w:tc>
        <w:tc>
          <w:tcPr>
            <w:tcW w:type="dxa" w:w="708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CS2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12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</w:t>
            </w:r>
          </w:p>
        </w:tc>
        <w:tc>
          <w:tcPr>
            <w:tcW w:type="dxa" w:w="708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DMS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13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</w:t>
            </w:r>
          </w:p>
        </w:tc>
        <w:tc>
          <w:tcPr>
            <w:tcW w:type="dxa" w:w="708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ethyl_propionate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14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</w:t>
            </w:r>
          </w:p>
        </w:tc>
        <w:tc>
          <w:tcPr>
            <w:tcW w:type="dxa" w:w="708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phenethyl_alcohol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15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</w:t>
            </w:r>
          </w:p>
        </w:tc>
        <w:tc>
          <w:tcPr>
            <w:tcW w:type="dxa" w:w="708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X4VG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16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</w:t>
            </w:r>
          </w:p>
        </w:tc>
        <w:tc>
          <w:tcPr>
            <w:tcW w:type="dxa" w:w="708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SO2.mg.L.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17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</w:t>
            </w:r>
          </w:p>
        </w:tc>
        <w:tc>
          <w:tcPr>
            <w:tcW w:type="dxa" w:w="708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acetic_acid.g.L.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18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</w:t>
            </w:r>
          </w:p>
        </w:tc>
        <w:tc>
          <w:tcPr>
            <w:tcW w:type="dxa" w:w="708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ammonia.mg.L.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19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</w:t>
            </w:r>
          </w:p>
        </w:tc>
        <w:tc>
          <w:tcPr>
            <w:tcW w:type="dxa" w:w="708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bitterness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20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</w:t>
            </w:r>
          </w:p>
        </w:tc>
        <w:tc>
          <w:tcPr>
            <w:tcW w:type="dxa" w:w="708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propylene.glycol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21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</w:t>
            </w:r>
          </w:p>
        </w:tc>
        <w:tc>
          <w:tcPr>
            <w:tcW w:type="dxa" w:w="708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ethyl.isobutyrate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22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</w:t>
            </w:r>
          </w:p>
        </w:tc>
        <w:tc>
          <w:tcPr>
            <w:tcW w:type="dxa" w:w="708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X2.methyltetrahydrofuran.3.one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23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</w:t>
            </w:r>
          </w:p>
        </w:tc>
        <w:tc>
          <w:tcPr>
            <w:tcW w:type="dxa" w:w="708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ethyl.lactate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24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</w:t>
            </w:r>
          </w:p>
        </w:tc>
        <w:tc>
          <w:tcPr>
            <w:tcW w:type="dxa" w:w="708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X3Z.hexenol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25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</w:t>
            </w:r>
          </w:p>
        </w:tc>
        <w:tc>
          <w:tcPr>
            <w:tcW w:type="dxa" w:w="708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styrene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26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</w:t>
            </w:r>
          </w:p>
        </w:tc>
        <w:tc>
          <w:tcPr>
            <w:tcW w:type="dxa" w:w="708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X6.methyl.5.hepten.2.one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27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</w:t>
            </w:r>
          </w:p>
        </w:tc>
        <w:tc>
          <w:tcPr>
            <w:tcW w:type="dxa" w:w="708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dehydroxy.cis.linalool.oxide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28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</w:t>
            </w:r>
          </w:p>
        </w:tc>
        <w:tc>
          <w:tcPr>
            <w:tcW w:type="dxa" w:w="708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hexyl.acetate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29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</w:t>
            </w:r>
          </w:p>
        </w:tc>
        <w:tc>
          <w:tcPr>
            <w:tcW w:type="dxa" w:w="708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eucalyptol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30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</w:t>
            </w:r>
          </w:p>
        </w:tc>
        <w:tc>
          <w:tcPr>
            <w:tcW w:type="dxa" w:w="708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cis.linalool.oxide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31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</w:t>
            </w:r>
          </w:p>
        </w:tc>
        <w:tc>
          <w:tcPr>
            <w:tcW w:type="dxa" w:w="708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meta.cymenene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32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</w:t>
            </w:r>
          </w:p>
        </w:tc>
        <w:tc>
          <w:tcPr>
            <w:tcW w:type="dxa" w:w="708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n.nonanal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33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</w:t>
            </w:r>
          </w:p>
        </w:tc>
        <w:tc>
          <w:tcPr>
            <w:tcW w:type="dxa" w:w="708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trans.dihydro.beta.terpineol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34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</w:t>
            </w:r>
          </w:p>
        </w:tc>
        <w:tc>
          <w:tcPr>
            <w:tcW w:type="dxa" w:w="708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cis.beta.terpineol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35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</w:t>
            </w:r>
          </w:p>
        </w:tc>
        <w:tc>
          <w:tcPr>
            <w:tcW w:type="dxa" w:w="708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vinyl.caprylate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36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</w:t>
            </w:r>
          </w:p>
        </w:tc>
        <w:tc>
          <w:tcPr>
            <w:tcW w:type="dxa" w:w="708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X2.undecanone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37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</w:t>
            </w:r>
          </w:p>
        </w:tc>
        <w:tc>
          <w:tcPr>
            <w:tcW w:type="dxa" w:w="708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delta.terpinyl.acetate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38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</w:t>
            </w:r>
          </w:p>
        </w:tc>
        <w:tc>
          <w:tcPr>
            <w:tcW w:type="dxa" w:w="708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eugenol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39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</w:t>
            </w:r>
          </w:p>
        </w:tc>
        <w:tc>
          <w:tcPr>
            <w:tcW w:type="dxa" w:w="708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methyl.para.anisate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40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</w:t>
            </w:r>
          </w:p>
        </w:tc>
        <w:tc>
          <w:tcPr>
            <w:tcW w:type="dxa" w:w="708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vanillin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41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</w:t>
            </w:r>
          </w:p>
        </w:tc>
        <w:tc>
          <w:tcPr>
            <w:tcW w:type="dxa" w:w="708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dodecanal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42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</w:t>
            </w:r>
          </w:p>
        </w:tc>
        <w:tc>
          <w:tcPr>
            <w:tcW w:type="dxa" w:w="708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X4.8.alpha.epoxy.caryophyllane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43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</w:t>
            </w:r>
          </w:p>
        </w:tc>
        <w:tc>
          <w:tcPr>
            <w:tcW w:type="dxa" w:w="708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E.caryophyllene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44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</w:t>
            </w:r>
          </w:p>
        </w:tc>
        <w:tc>
          <w:tcPr>
            <w:tcW w:type="dxa" w:w="708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beta.humulene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45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</w:t>
            </w:r>
          </w:p>
        </w:tc>
        <w:tc>
          <w:tcPr>
            <w:tcW w:type="dxa" w:w="708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linalool.isovalerate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46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</w:t>
            </w:r>
          </w:p>
        </w:tc>
        <w:tc>
          <w:tcPr>
            <w:tcW w:type="dxa" w:w="708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valencene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47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</w:t>
            </w:r>
          </w:p>
        </w:tc>
        <w:tc>
          <w:tcPr>
            <w:tcW w:type="dxa" w:w="708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X.Z..dihydro.apofarnesal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48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</w:t>
            </w:r>
          </w:p>
        </w:tc>
        <w:tc>
          <w:tcPr>
            <w:tcW w:type="dxa" w:w="708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X.E..dihydro.apofarnesal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49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</w:t>
            </w:r>
          </w:p>
        </w:tc>
        <w:tc>
          <w:tcPr>
            <w:tcW w:type="dxa" w:w="708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Z.nerolidol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50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</w:t>
            </w:r>
          </w:p>
        </w:tc>
        <w:tc>
          <w:tcPr>
            <w:tcW w:type="dxa" w:w="708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isopropyl.laurate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51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</w:t>
            </w:r>
          </w:p>
        </w:tc>
        <w:tc>
          <w:tcPr>
            <w:tcW w:type="dxa" w:w="708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tau.cadinol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52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</w:t>
            </w:r>
          </w:p>
        </w:tc>
        <w:tc>
          <w:tcPr>
            <w:tcW w:type="dxa" w:w="708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alpha.eudesmol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53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</w:t>
            </w:r>
          </w:p>
        </w:tc>
        <w:tc>
          <w:tcPr>
            <w:tcW w:type="dxa" w:w="708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foeniculin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54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</w:t>
            </w:r>
          </w:p>
        </w:tc>
        <w:tc>
          <w:tcPr>
            <w:tcW w:type="dxa" w:w="708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cadalene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55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</w:t>
            </w:r>
          </w:p>
        </w:tc>
        <w:tc>
          <w:tcPr>
            <w:tcW w:type="dxa" w:w="708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caryophyllene.acetate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56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</w:t>
            </w:r>
          </w:p>
        </w:tc>
        <w:tc>
          <w:tcPr>
            <w:tcW w:type="dxa" w:w="708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X14.hydroxy.alpha.humulene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57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</w:t>
            </w:r>
          </w:p>
        </w:tc>
        <w:tc>
          <w:tcPr>
            <w:tcW w:type="dxa" w:w="708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X2Z.6Z.farnesol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58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</w:t>
            </w:r>
          </w:p>
        </w:tc>
        <w:tc>
          <w:tcPr>
            <w:tcW w:type="dxa" w:w="708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X2E.6E.methyl.farnesoate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59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</w:t>
            </w:r>
          </w:p>
        </w:tc>
        <w:tc>
          <w:tcPr>
            <w:tcW w:type="dxa" w:w="708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X2.ethylhexylsalicylate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60</w:t>
            </w:r>
          </w:p>
        </w:tc>
        <w:tc>
          <w:tcPr>
            <w:tcW w:type="dxa" w:w="73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1</w:t>
            </w:r>
          </w:p>
        </w:tc>
        <w:tc>
          <w:tcPr>
            <w:tcW w:type="dxa" w:w="708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4"/>
              </w:rPr>
              <w:t>X2.ethyl.3.methylpyrazine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10"/>
      <w:pgSz w:w="11906" w:h="16838"/>
      <w:pgMar w:top="1417" w:right="1474" w:bottom="1304" w:left="1474" w:header="720" w:footer="720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b w:val="0"/>
        <w:sz w:val="18"/>
      </w:rPr>
      <w:fldChar w:fldCharType="begin"/>
    </w:r>
    <w:r>
      <w:rPr>
        <w:rFonts w:ascii="Times New Roman" w:hAnsi="Times New Roman" w:eastAsia="宋体"/>
        <w:b w:val="0"/>
        <w:sz w:val="18"/>
      </w:rPr>
      <w:instrText xml:space="preserve"> PAGE </w:instrText>
    </w:r>
    <w:r>
      <w:rPr>
        <w:rFonts w:ascii="Times New Roman" w:hAnsi="Times New Roman" w:eastAsia="宋体"/>
        <w:b w:val="0"/>
        <w:sz w:val="18"/>
      </w:rPr>
      <w:fldChar w:fldCharType="separate"/>
    </w:r>
    <w:r>
      <w:rPr>
        <w:rFonts w:ascii="Times New Roman" w:hAnsi="Times New Roman" w:eastAsia="宋体"/>
        <w:b w:val="0"/>
        <w:sz w:val="18"/>
      </w:rPr>
      <w:t>1</w:t>
    </w:r>
    <w:r>
      <w:rPr>
        <w:rFonts w:ascii="Times New Roman" w:hAnsi="Times New Roman" w:eastAsia="宋体"/>
        <w:b w:val="0"/>
        <w:sz w:val="1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6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