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675F" w14:textId="77777777" w:rsidR="0069142B" w:rsidRDefault="0069142B" w:rsidP="0069142B"/>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9142B" w14:paraId="31C16DF0" w14:textId="77777777" w:rsidTr="008521BF">
        <w:trPr>
          <w:trHeight w:val="571"/>
        </w:trPr>
        <w:tc>
          <w:tcPr>
            <w:tcW w:w="9740" w:type="dxa"/>
            <w:vAlign w:val="bottom"/>
          </w:tcPr>
          <w:p w14:paraId="1CF2700B" w14:textId="77777777" w:rsidR="0069142B" w:rsidRPr="008521BF" w:rsidRDefault="0069142B"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雪球（向下敲出）</w:t>
            </w:r>
          </w:p>
          <w:p w14:paraId="1BC1293E" w14:textId="77777777" w:rsidR="0069142B" w:rsidRDefault="0069142B"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Down-Out-Snowball</w:t>
            </w:r>
          </w:p>
          <w:p w14:paraId="5C5801CB" w14:textId="77777777" w:rsidR="0069142B" w:rsidRDefault="0069142B" w:rsidP="008521BF">
            <w:pPr>
              <w:wordWrap w:val="0"/>
              <w:spacing w:line="276" w:lineRule="auto"/>
              <w:jc w:val="left"/>
              <w:rPr>
                <w:rFonts w:ascii="Arial" w:eastAsia="楷体" w:hAnsi="Arial" w:cs="Arial"/>
                <w:i/>
                <w:iCs/>
                <w:sz w:val="24"/>
                <w:szCs w:val="24"/>
              </w:rPr>
            </w:pPr>
          </w:p>
          <w:p w14:paraId="3749B385" w14:textId="77777777" w:rsidR="0069142B" w:rsidRDefault="0069142B"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178C8F0" w14:textId="22E0DE0F" w:rsidR="0069142B" w:rsidRDefault="0069142B"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007700">
              <w:rPr>
                <w:rFonts w:ascii="楷体" w:eastAsia="楷体" w:hAnsi="楷体"/>
                <w:sz w:val="24"/>
                <w:szCs w:val="24"/>
              </w:rPr>
              <w:t>{{</w:t>
            </w:r>
            <w:proofErr w:type="spellStart"/>
            <w:r w:rsidR="00897870" w:rsidRPr="003C5458">
              <w:rPr>
                <w:rFonts w:ascii="楷体" w:eastAsia="楷体" w:hAnsi="楷体"/>
                <w:sz w:val="24"/>
                <w:szCs w:val="24"/>
              </w:rPr>
              <w:t>tradeCode</w:t>
            </w:r>
            <w:proofErr w:type="spellEnd"/>
            <w:r w:rsidR="00007700">
              <w:rPr>
                <w:rFonts w:ascii="楷体" w:eastAsia="楷体" w:hAnsi="楷体"/>
                <w:sz w:val="24"/>
                <w:szCs w:val="24"/>
              </w:rPr>
              <w:t>}}</w:t>
            </w:r>
            <w:r>
              <w:rPr>
                <w:rFonts w:ascii="楷体" w:eastAsia="楷体" w:hAnsi="楷体" w:hint="eastAsia"/>
                <w:sz w:val="24"/>
                <w:szCs w:val="24"/>
              </w:rPr>
              <w:t>】</w:t>
            </w:r>
          </w:p>
        </w:tc>
      </w:tr>
    </w:tbl>
    <w:p w14:paraId="64A3665A" w14:textId="77777777" w:rsidR="0069142B" w:rsidRDefault="0069142B" w:rsidP="0069142B"/>
    <w:p w14:paraId="6B9A868D" w14:textId="4F21F497" w:rsidR="0069142B" w:rsidRPr="00897870" w:rsidRDefault="0069142B" w:rsidP="0069142B">
      <w:pPr>
        <w:widowControl/>
        <w:spacing w:line="360" w:lineRule="auto"/>
        <w:ind w:right="600"/>
        <w:jc w:val="left"/>
        <w:rPr>
          <w:rFonts w:ascii="楷体" w:eastAsia="楷体" w:hAnsi="楷体" w:cs="楷体"/>
          <w:sz w:val="24"/>
          <w:szCs w:val="24"/>
          <w:lang w:bidi="ar"/>
        </w:rPr>
      </w:pPr>
      <w:r w:rsidRPr="00897870">
        <w:rPr>
          <w:rFonts w:ascii="Arial" w:eastAsia="楷体" w:hAnsi="Arial" w:cs="Arial" w:hint="eastAsia"/>
          <w:b/>
          <w:sz w:val="24"/>
          <w:szCs w:val="24"/>
        </w:rPr>
        <w:t>甲方：</w:t>
      </w:r>
      <w:proofErr w:type="gramStart"/>
      <w:r w:rsidRPr="00897870">
        <w:rPr>
          <w:rFonts w:ascii="楷体" w:eastAsia="楷体" w:hAnsi="楷体" w:cs="楷体" w:hint="eastAsia"/>
          <w:sz w:val="24"/>
          <w:szCs w:val="24"/>
          <w:lang w:bidi="ar"/>
        </w:rPr>
        <w:t>东</w:t>
      </w:r>
      <w:r w:rsidR="00747305">
        <w:rPr>
          <w:rFonts w:ascii="楷体" w:eastAsia="楷体" w:hAnsi="楷体" w:cs="楷体" w:hint="eastAsia"/>
          <w:kern w:val="0"/>
          <w:sz w:val="24"/>
          <w:szCs w:val="24"/>
          <w:lang w:bidi="ar"/>
        </w:rPr>
        <w:t>证</w:t>
      </w:r>
      <w:r w:rsidRPr="00897870">
        <w:rPr>
          <w:rFonts w:ascii="楷体" w:eastAsia="楷体" w:hAnsi="楷体" w:cs="楷体" w:hint="eastAsia"/>
          <w:sz w:val="24"/>
          <w:szCs w:val="24"/>
          <w:lang w:bidi="ar"/>
        </w:rPr>
        <w:t>润和</w:t>
      </w:r>
      <w:proofErr w:type="gramEnd"/>
      <w:r w:rsidRPr="00897870">
        <w:rPr>
          <w:rFonts w:ascii="楷体" w:eastAsia="楷体" w:hAnsi="楷体" w:cs="楷体" w:hint="eastAsia"/>
          <w:sz w:val="24"/>
          <w:szCs w:val="24"/>
          <w:lang w:bidi="ar"/>
        </w:rPr>
        <w:t>资本管理有限公司</w:t>
      </w:r>
    </w:p>
    <w:p w14:paraId="2228B2BB" w14:textId="31885C0E" w:rsidR="0069142B" w:rsidRDefault="0069142B" w:rsidP="0069142B">
      <w:pPr>
        <w:wordWrap w:val="0"/>
        <w:spacing w:line="276" w:lineRule="auto"/>
        <w:jc w:val="left"/>
        <w:rPr>
          <w:rFonts w:ascii="楷体" w:eastAsia="楷体" w:hAnsi="楷体"/>
          <w:b/>
          <w:bCs/>
          <w:sz w:val="24"/>
          <w:szCs w:val="24"/>
        </w:rPr>
      </w:pPr>
      <w:r w:rsidRPr="00897870">
        <w:rPr>
          <w:rFonts w:ascii="Arial" w:eastAsia="楷体" w:hAnsi="Arial" w:cs="Arial" w:hint="eastAsia"/>
          <w:b/>
          <w:sz w:val="24"/>
          <w:szCs w:val="24"/>
        </w:rPr>
        <w:t>乙方：</w:t>
      </w:r>
      <w:r w:rsidR="00007700">
        <w:rPr>
          <w:rFonts w:ascii="楷体" w:eastAsia="楷体" w:hAnsi="楷体" w:cs="楷体"/>
          <w:sz w:val="24"/>
          <w:szCs w:val="24"/>
          <w:lang w:bidi="ar"/>
        </w:rPr>
        <w:t>{{</w:t>
      </w:r>
      <w:proofErr w:type="spellStart"/>
      <w:r w:rsidR="00897870" w:rsidRPr="00C4388D">
        <w:rPr>
          <w:rFonts w:ascii="楷体" w:eastAsia="楷体" w:hAnsi="楷体" w:cs="楷体"/>
          <w:sz w:val="24"/>
          <w:szCs w:val="24"/>
          <w:lang w:bidi="ar"/>
        </w:rPr>
        <w:t>clientName</w:t>
      </w:r>
      <w:proofErr w:type="spellEnd"/>
      <w:r w:rsidR="00007700">
        <w:rPr>
          <w:rFonts w:ascii="楷体" w:eastAsia="楷体" w:hAnsi="楷体" w:cs="楷体"/>
          <w:sz w:val="24"/>
          <w:szCs w:val="24"/>
          <w:lang w:bidi="ar"/>
        </w:rPr>
        <w:t>}}</w:t>
      </w:r>
    </w:p>
    <w:p w14:paraId="0E5D6BCE" w14:textId="77777777" w:rsidR="0069142B" w:rsidRDefault="0069142B" w:rsidP="0069142B">
      <w:pPr>
        <w:wordWrap w:val="0"/>
        <w:spacing w:line="276" w:lineRule="auto"/>
        <w:jc w:val="left"/>
        <w:rPr>
          <w:rFonts w:ascii="楷体" w:eastAsia="楷体" w:hAnsi="楷体"/>
          <w:sz w:val="24"/>
          <w:szCs w:val="24"/>
        </w:rPr>
      </w:pPr>
    </w:p>
    <w:p w14:paraId="30FD7655"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06B17313" w14:textId="77777777" w:rsidR="0069142B" w:rsidRDefault="0069142B" w:rsidP="0069142B">
      <w:pPr>
        <w:wordWrap w:val="0"/>
        <w:spacing w:line="276" w:lineRule="auto"/>
        <w:rPr>
          <w:rFonts w:ascii="楷体" w:eastAsia="楷体" w:hAnsi="楷体"/>
          <w:sz w:val="24"/>
          <w:szCs w:val="24"/>
        </w:rPr>
      </w:pPr>
    </w:p>
    <w:p w14:paraId="60984B5C"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4D8FEFBF" w14:textId="77777777" w:rsidR="0069142B" w:rsidRDefault="0069142B" w:rsidP="0069142B">
      <w:pPr>
        <w:wordWrap w:val="0"/>
        <w:spacing w:line="276" w:lineRule="auto"/>
        <w:ind w:firstLine="420"/>
        <w:rPr>
          <w:rFonts w:ascii="楷体" w:eastAsia="楷体" w:hAnsi="楷体"/>
          <w:sz w:val="24"/>
          <w:szCs w:val="24"/>
        </w:rPr>
      </w:pPr>
    </w:p>
    <w:p w14:paraId="25ED5EBC" w14:textId="77777777" w:rsidR="0069142B" w:rsidRDefault="0069142B" w:rsidP="0069142B">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1E581ECD" w14:textId="77777777" w:rsidR="0069142B" w:rsidRDefault="0069142B" w:rsidP="0069142B">
      <w:pPr>
        <w:wordWrap w:val="0"/>
        <w:spacing w:line="276" w:lineRule="auto"/>
        <w:ind w:firstLine="420"/>
        <w:rPr>
          <w:rFonts w:ascii="楷体" w:eastAsia="楷体" w:hAnsi="楷体"/>
          <w:sz w:val="24"/>
          <w:szCs w:val="24"/>
        </w:rPr>
      </w:pPr>
    </w:p>
    <w:p w14:paraId="35A26368" w14:textId="77777777" w:rsidR="0069142B" w:rsidRDefault="0069142B" w:rsidP="0069142B">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31CC6AD1" w14:textId="77777777" w:rsidR="0069142B" w:rsidRDefault="0069142B" w:rsidP="0069142B">
      <w:pPr>
        <w:jc w:val="left"/>
        <w:rPr>
          <w:rFonts w:ascii="楷体" w:eastAsia="楷体" w:hAnsi="楷体"/>
          <w:sz w:val="24"/>
          <w:szCs w:val="24"/>
        </w:rPr>
      </w:pPr>
    </w:p>
    <w:p w14:paraId="0A2AAC32" w14:textId="77777777" w:rsidR="0069142B" w:rsidRDefault="0069142B" w:rsidP="0069142B">
      <w:pPr>
        <w:rPr>
          <w:rFonts w:ascii="楷体" w:eastAsia="楷体" w:hAnsi="楷体"/>
          <w:sz w:val="24"/>
          <w:szCs w:val="24"/>
        </w:rPr>
      </w:pPr>
    </w:p>
    <w:p w14:paraId="221CAC98" w14:textId="77777777" w:rsidR="0069142B" w:rsidRDefault="0069142B" w:rsidP="0069142B">
      <w:pPr>
        <w:rPr>
          <w:rFonts w:ascii="楷体" w:eastAsia="楷体" w:hAnsi="楷体"/>
          <w:sz w:val="24"/>
          <w:szCs w:val="24"/>
        </w:rPr>
      </w:pPr>
    </w:p>
    <w:p w14:paraId="41160010" w14:textId="77777777" w:rsidR="0069142B" w:rsidRDefault="0069142B" w:rsidP="0069142B">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69142B" w14:paraId="08645CF8" w14:textId="77777777" w:rsidTr="008521BF">
        <w:trPr>
          <w:trHeight w:val="270"/>
        </w:trPr>
        <w:tc>
          <w:tcPr>
            <w:tcW w:w="9646" w:type="dxa"/>
            <w:gridSpan w:val="3"/>
            <w:shd w:val="clear" w:color="auto" w:fill="D9D9D9" w:themeFill="background1" w:themeFillShade="D9"/>
          </w:tcPr>
          <w:p w14:paraId="040D2C2D" w14:textId="77777777" w:rsidR="0069142B" w:rsidRPr="008521BF" w:rsidRDefault="0069142B" w:rsidP="008521BF">
            <w:pPr>
              <w:spacing w:line="360" w:lineRule="auto"/>
              <w:jc w:val="left"/>
              <w:rPr>
                <w:rFonts w:ascii="楷体" w:eastAsia="楷体" w:hAnsi="楷体" w:cs="楷体"/>
                <w:b/>
                <w:sz w:val="21"/>
                <w:szCs w:val="21"/>
                <w:shd w:val="pct15" w:color="auto" w:fill="FFFFFF"/>
              </w:rPr>
            </w:pPr>
            <w:bookmarkStart w:id="0" w:name="_Hlk105596520"/>
            <w:r w:rsidRPr="00897870">
              <w:rPr>
                <w:rFonts w:ascii="黑体" w:eastAsia="黑体" w:hAnsi="黑体" w:hint="eastAsia"/>
                <w:sz w:val="21"/>
                <w:szCs w:val="21"/>
              </w:rPr>
              <w:lastRenderedPageBreak/>
              <w:t>一、交易要素明细</w:t>
            </w:r>
          </w:p>
        </w:tc>
      </w:tr>
      <w:tr w:rsidR="002A4DA8" w14:paraId="78C6BB18" w14:textId="77777777" w:rsidTr="008521BF">
        <w:trPr>
          <w:gridAfter w:val="1"/>
          <w:wAfter w:w="12" w:type="dxa"/>
          <w:trHeight w:val="363"/>
        </w:trPr>
        <w:tc>
          <w:tcPr>
            <w:tcW w:w="2830" w:type="dxa"/>
            <w:shd w:val="clear" w:color="auto" w:fill="F2F2F2" w:themeFill="background1" w:themeFillShade="F2"/>
          </w:tcPr>
          <w:p w14:paraId="0D4F466D"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354D7D25" w14:textId="1DF26896" w:rsidR="002A4DA8" w:rsidRPr="00EC6BB9" w:rsidRDefault="002A4DA8" w:rsidP="002A4DA8">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2A4DA8" w14:paraId="1C450EEB" w14:textId="77777777" w:rsidTr="008521BF">
        <w:trPr>
          <w:gridAfter w:val="1"/>
          <w:wAfter w:w="12" w:type="dxa"/>
          <w:trHeight w:val="363"/>
        </w:trPr>
        <w:tc>
          <w:tcPr>
            <w:tcW w:w="2830" w:type="dxa"/>
            <w:shd w:val="clear" w:color="auto" w:fill="F2F2F2" w:themeFill="background1" w:themeFillShade="F2"/>
          </w:tcPr>
          <w:p w14:paraId="7B0492EF"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7985C78B" w14:textId="4560931F" w:rsidR="002A4DA8" w:rsidRPr="00EC6BB9" w:rsidRDefault="002A4DA8" w:rsidP="002A4DA8">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2A4DA8" w14:paraId="7453EE90" w14:textId="77777777" w:rsidTr="008521BF">
        <w:trPr>
          <w:gridAfter w:val="1"/>
          <w:wAfter w:w="12" w:type="dxa"/>
          <w:trHeight w:val="363"/>
        </w:trPr>
        <w:tc>
          <w:tcPr>
            <w:tcW w:w="2830" w:type="dxa"/>
            <w:shd w:val="clear" w:color="auto" w:fill="F2F2F2" w:themeFill="background1" w:themeFillShade="F2"/>
          </w:tcPr>
          <w:p w14:paraId="205A04BF"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874CFC8" w14:textId="7DEAAABB" w:rsidR="002A4DA8" w:rsidRPr="00EC6BB9" w:rsidRDefault="002A4DA8" w:rsidP="002A4DA8">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2A4DA8" w14:paraId="4A91B109" w14:textId="77777777" w:rsidTr="008521BF">
        <w:trPr>
          <w:gridAfter w:val="1"/>
          <w:wAfter w:w="12" w:type="dxa"/>
          <w:trHeight w:val="363"/>
        </w:trPr>
        <w:tc>
          <w:tcPr>
            <w:tcW w:w="2830" w:type="dxa"/>
            <w:shd w:val="clear" w:color="auto" w:fill="F2F2F2" w:themeFill="background1" w:themeFillShade="F2"/>
          </w:tcPr>
          <w:p w14:paraId="52F41262" w14:textId="77777777" w:rsidR="002A4DA8" w:rsidRPr="00385812" w:rsidRDefault="002A4DA8" w:rsidP="002A4DA8">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78720E0B" w14:textId="030BF38D" w:rsidR="002A4DA8" w:rsidRPr="00EC6BB9" w:rsidRDefault="002A4DA8" w:rsidP="002A4DA8">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2A4DA8" w14:paraId="1938E62B" w14:textId="77777777" w:rsidTr="008521BF">
        <w:trPr>
          <w:gridAfter w:val="1"/>
          <w:wAfter w:w="12" w:type="dxa"/>
          <w:trHeight w:val="363"/>
        </w:trPr>
        <w:tc>
          <w:tcPr>
            <w:tcW w:w="2830" w:type="dxa"/>
            <w:shd w:val="clear" w:color="auto" w:fill="F2F2F2" w:themeFill="background1" w:themeFillShade="F2"/>
          </w:tcPr>
          <w:p w14:paraId="5241759E"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44A15F3" w14:textId="0033CDE3" w:rsidR="002A4DA8" w:rsidRPr="00EC6BB9" w:rsidRDefault="002A4DA8" w:rsidP="002A4DA8">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2A4DA8" w14:paraId="352F8807" w14:textId="77777777" w:rsidTr="008521BF">
        <w:trPr>
          <w:gridAfter w:val="1"/>
          <w:wAfter w:w="12" w:type="dxa"/>
          <w:trHeight w:val="363"/>
        </w:trPr>
        <w:tc>
          <w:tcPr>
            <w:tcW w:w="2830" w:type="dxa"/>
            <w:shd w:val="clear" w:color="auto" w:fill="F2F2F2" w:themeFill="background1" w:themeFillShade="F2"/>
          </w:tcPr>
          <w:p w14:paraId="36E2BFC3"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3E361E6" w14:textId="42EE2F85" w:rsidR="002A4DA8" w:rsidRPr="00EC6BB9" w:rsidRDefault="002A4DA8" w:rsidP="002A4DA8">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2A4DA8" w14:paraId="08424A57" w14:textId="77777777" w:rsidTr="008521BF">
        <w:trPr>
          <w:gridAfter w:val="1"/>
          <w:wAfter w:w="12" w:type="dxa"/>
          <w:trHeight w:val="363"/>
        </w:trPr>
        <w:tc>
          <w:tcPr>
            <w:tcW w:w="2830" w:type="dxa"/>
            <w:shd w:val="clear" w:color="auto" w:fill="F2F2F2" w:themeFill="background1" w:themeFillShade="F2"/>
          </w:tcPr>
          <w:p w14:paraId="7B82355A"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D45C278" w14:textId="49CBE5EE" w:rsidR="002A4DA8" w:rsidRPr="00EC6BB9" w:rsidRDefault="002A4DA8" w:rsidP="002A4DA8">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2A4DA8" w14:paraId="19BF330F" w14:textId="77777777" w:rsidTr="008521BF">
        <w:trPr>
          <w:gridAfter w:val="1"/>
          <w:wAfter w:w="12" w:type="dxa"/>
          <w:trHeight w:val="363"/>
        </w:trPr>
        <w:tc>
          <w:tcPr>
            <w:tcW w:w="2830" w:type="dxa"/>
            <w:shd w:val="clear" w:color="auto" w:fill="F2F2F2" w:themeFill="background1" w:themeFillShade="F2"/>
          </w:tcPr>
          <w:p w14:paraId="722AAFCA" w14:textId="77777777" w:rsidR="002A4DA8" w:rsidRPr="00EC6BB9" w:rsidRDefault="002A4DA8" w:rsidP="002A4DA8">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6AA6BD75" w14:textId="010578D7" w:rsidR="002A4DA8" w:rsidRDefault="002A4DA8" w:rsidP="002A4DA8">
            <w:pPr>
              <w:widowControl/>
              <w:jc w:val="center"/>
              <w:rPr>
                <w:rFonts w:ascii="楷体" w:eastAsia="楷体" w:hAnsi="楷体" w:cs="楷体"/>
                <w:sz w:val="18"/>
                <w:szCs w:val="18"/>
              </w:rPr>
            </w:pPr>
            <w:r>
              <w:rPr>
                <w:rFonts w:ascii="楷体" w:eastAsia="楷体" w:hAnsi="楷体" w:cs="楷体"/>
                <w:sz w:val="18"/>
                <w:szCs w:val="18"/>
              </w:rPr>
              <w:t>{{</w:t>
            </w:r>
            <w:proofErr w:type="spellStart"/>
            <w:r w:rsidRPr="00BD4B57">
              <w:rPr>
                <w:rFonts w:ascii="楷体" w:eastAsia="楷体" w:hAnsi="楷体" w:cs="楷体"/>
                <w:sz w:val="18"/>
                <w:szCs w:val="18"/>
              </w:rPr>
              <w:t>participationRateString</w:t>
            </w:r>
            <w:proofErr w:type="spellEnd"/>
            <w:r>
              <w:rPr>
                <w:rFonts w:ascii="楷体" w:eastAsia="楷体" w:hAnsi="楷体" w:cs="楷体"/>
                <w:sz w:val="18"/>
                <w:szCs w:val="18"/>
              </w:rPr>
              <w:t>}}</w:t>
            </w:r>
          </w:p>
        </w:tc>
      </w:tr>
      <w:tr w:rsidR="002A4DA8" w14:paraId="654B3FC8" w14:textId="77777777" w:rsidTr="008521BF">
        <w:trPr>
          <w:gridAfter w:val="1"/>
          <w:wAfter w:w="12" w:type="dxa"/>
          <w:trHeight w:val="363"/>
        </w:trPr>
        <w:tc>
          <w:tcPr>
            <w:tcW w:w="2830" w:type="dxa"/>
            <w:shd w:val="clear" w:color="auto" w:fill="F2F2F2" w:themeFill="background1" w:themeFillShade="F2"/>
          </w:tcPr>
          <w:p w14:paraId="57167C19" w14:textId="77777777" w:rsidR="002A4DA8" w:rsidRPr="00EC6BB9" w:rsidRDefault="002A4DA8" w:rsidP="002A4DA8">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14A3A706" w14:textId="068FA1E8" w:rsidR="002A4DA8" w:rsidRPr="00EC6BB9" w:rsidRDefault="002A4DA8" w:rsidP="002A4DA8">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2A4DA8" w14:paraId="3E6075B4" w14:textId="77777777" w:rsidTr="008521BF">
        <w:trPr>
          <w:gridAfter w:val="1"/>
          <w:wAfter w:w="12" w:type="dxa"/>
          <w:trHeight w:val="363"/>
        </w:trPr>
        <w:tc>
          <w:tcPr>
            <w:tcW w:w="2830" w:type="dxa"/>
            <w:shd w:val="clear" w:color="auto" w:fill="F2F2F2" w:themeFill="background1" w:themeFillShade="F2"/>
          </w:tcPr>
          <w:p w14:paraId="12DADB1D" w14:textId="77777777" w:rsidR="002A4DA8" w:rsidRDefault="002A4DA8" w:rsidP="002A4DA8">
            <w:pPr>
              <w:widowControl/>
              <w:jc w:val="left"/>
              <w:rPr>
                <w:rFonts w:ascii="黑体" w:eastAsia="黑体" w:hAnsi="黑体"/>
                <w:sz w:val="18"/>
                <w:szCs w:val="18"/>
              </w:rPr>
            </w:pP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804" w:type="dxa"/>
            <w:noWrap/>
          </w:tcPr>
          <w:p w14:paraId="711499E2" w14:textId="56612BE6" w:rsidR="002A4DA8" w:rsidRDefault="002A4DA8" w:rsidP="002A4DA8">
            <w:pPr>
              <w:widowControl/>
              <w:jc w:val="center"/>
              <w:rPr>
                <w:rFonts w:ascii="楷体" w:eastAsia="楷体" w:hAnsi="楷体" w:cs="楷体"/>
                <w:sz w:val="18"/>
                <w:szCs w:val="18"/>
              </w:rPr>
            </w:pPr>
            <w:r>
              <w:rPr>
                <w:rFonts w:ascii="楷体" w:eastAsia="楷体" w:hAnsi="楷体" w:cs="楷体" w:hint="eastAsia"/>
                <w:sz w:val="18"/>
                <w:szCs w:val="18"/>
              </w:rPr>
              <w:t>{{</w:t>
            </w:r>
            <w:proofErr w:type="spellStart"/>
            <w:r w:rsidRPr="003710AF">
              <w:rPr>
                <w:rFonts w:ascii="楷体" w:eastAsia="楷体" w:hAnsi="楷体" w:cs="楷体"/>
                <w:sz w:val="18"/>
                <w:szCs w:val="18"/>
              </w:rPr>
              <w:t>yearReturnRateStructValueString</w:t>
            </w:r>
            <w:proofErr w:type="spellEnd"/>
            <w:r>
              <w:rPr>
                <w:rFonts w:ascii="楷体" w:eastAsia="楷体" w:hAnsi="楷体" w:cs="楷体"/>
                <w:sz w:val="18"/>
                <w:szCs w:val="18"/>
              </w:rPr>
              <w:t>}}</w:t>
            </w:r>
          </w:p>
        </w:tc>
      </w:tr>
      <w:tr w:rsidR="002A4DA8" w14:paraId="713EDC80" w14:textId="77777777" w:rsidTr="008521BF">
        <w:trPr>
          <w:gridAfter w:val="1"/>
          <w:wAfter w:w="12" w:type="dxa"/>
          <w:trHeight w:val="363"/>
        </w:trPr>
        <w:tc>
          <w:tcPr>
            <w:tcW w:w="2830" w:type="dxa"/>
            <w:shd w:val="clear" w:color="auto" w:fill="F2F2F2" w:themeFill="background1" w:themeFillShade="F2"/>
          </w:tcPr>
          <w:p w14:paraId="159044F2" w14:textId="77777777" w:rsidR="002A4DA8" w:rsidRPr="00EC6BB9" w:rsidRDefault="002A4DA8" w:rsidP="002A4DA8">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5AB1C77D" w14:textId="25F47D83" w:rsidR="002A4DA8" w:rsidRDefault="002A4DA8" w:rsidP="002A4DA8">
            <w:pPr>
              <w:widowControl/>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absReturnRateStructValueString</w:t>
            </w:r>
            <w:proofErr w:type="spellEnd"/>
            <w:r>
              <w:rPr>
                <w:rFonts w:ascii="楷体" w:eastAsia="楷体" w:hAnsi="楷体" w:cs="楷体"/>
                <w:sz w:val="18"/>
                <w:szCs w:val="18"/>
              </w:rPr>
              <w:t>}}</w:t>
            </w:r>
          </w:p>
        </w:tc>
      </w:tr>
      <w:tr w:rsidR="002A4DA8" w14:paraId="6316930C" w14:textId="77777777" w:rsidTr="008521BF">
        <w:trPr>
          <w:gridAfter w:val="1"/>
          <w:wAfter w:w="12" w:type="dxa"/>
          <w:trHeight w:val="363"/>
        </w:trPr>
        <w:tc>
          <w:tcPr>
            <w:tcW w:w="2830" w:type="dxa"/>
            <w:shd w:val="clear" w:color="auto" w:fill="F2F2F2" w:themeFill="background1" w:themeFillShade="F2"/>
          </w:tcPr>
          <w:p w14:paraId="139E0F64" w14:textId="77777777" w:rsidR="002A4DA8" w:rsidRDefault="002A4DA8" w:rsidP="002A4DA8">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27CC48EE" w14:textId="2F7FC962" w:rsidR="002A4DA8" w:rsidRPr="00EC6BB9" w:rsidRDefault="002A4DA8" w:rsidP="002A4DA8">
            <w:pPr>
              <w:jc w:val="center"/>
              <w:rPr>
                <w:rFonts w:ascii="楷体" w:eastAsia="楷体" w:hAnsi="楷体" w:cs="楷体"/>
                <w:color w:val="FF0000"/>
                <w:sz w:val="18"/>
                <w:szCs w:val="18"/>
              </w:rPr>
            </w:pPr>
            <w:r w:rsidRPr="00897B81">
              <w:rPr>
                <w:rFonts w:ascii="楷体" w:eastAsia="楷体" w:hAnsi="楷体" w:cs="楷体"/>
                <w:sz w:val="18"/>
                <w:szCs w:val="18"/>
              </w:rPr>
              <w:t>{{+experience}}</w:t>
            </w:r>
          </w:p>
        </w:tc>
      </w:tr>
      <w:tr w:rsidR="002A4DA8" w14:paraId="443C2CC6" w14:textId="77777777" w:rsidTr="008521BF">
        <w:trPr>
          <w:gridAfter w:val="1"/>
          <w:wAfter w:w="12" w:type="dxa"/>
          <w:trHeight w:val="363"/>
        </w:trPr>
        <w:tc>
          <w:tcPr>
            <w:tcW w:w="2830" w:type="dxa"/>
            <w:shd w:val="clear" w:color="auto" w:fill="F2F2F2" w:themeFill="background1" w:themeFillShade="F2"/>
          </w:tcPr>
          <w:p w14:paraId="74142339" w14:textId="77777777" w:rsidR="002A4DA8" w:rsidRPr="000D64E5" w:rsidRDefault="002A4DA8" w:rsidP="002A4DA8">
            <w:pPr>
              <w:widowControl/>
              <w:jc w:val="left"/>
              <w:rPr>
                <w:rFonts w:ascii="黑体" w:eastAsia="黑体" w:hAnsi="黑体"/>
                <w:sz w:val="18"/>
                <w:szCs w:val="18"/>
              </w:rPr>
            </w:pP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804" w:type="dxa"/>
            <w:noWrap/>
          </w:tcPr>
          <w:p w14:paraId="4398492D" w14:textId="1FAACAB7" w:rsidR="002A4DA8" w:rsidRPr="00EC6BB9" w:rsidRDefault="002A4DA8" w:rsidP="002A4DA8">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yearBonusRateStructValueString</w:t>
            </w:r>
            <w:proofErr w:type="spellEnd"/>
            <w:r>
              <w:rPr>
                <w:rFonts w:ascii="楷体" w:eastAsia="楷体" w:hAnsi="楷体" w:cs="楷体"/>
                <w:sz w:val="18"/>
                <w:szCs w:val="18"/>
              </w:rPr>
              <w:t>}}</w:t>
            </w:r>
          </w:p>
        </w:tc>
      </w:tr>
      <w:tr w:rsidR="002A4DA8" w14:paraId="1EB877B7" w14:textId="77777777" w:rsidTr="008521BF">
        <w:trPr>
          <w:gridAfter w:val="1"/>
          <w:wAfter w:w="12" w:type="dxa"/>
          <w:trHeight w:val="363"/>
        </w:trPr>
        <w:tc>
          <w:tcPr>
            <w:tcW w:w="2830" w:type="dxa"/>
            <w:shd w:val="clear" w:color="auto" w:fill="F2F2F2" w:themeFill="background1" w:themeFillShade="F2"/>
          </w:tcPr>
          <w:p w14:paraId="538E7135" w14:textId="77777777" w:rsidR="002A4DA8" w:rsidRPr="000D64E5" w:rsidRDefault="002A4DA8" w:rsidP="002A4DA8">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1A99F0D2" w14:textId="18965A4C" w:rsidR="002A4DA8" w:rsidRPr="008A55A5" w:rsidRDefault="002A4DA8" w:rsidP="002A4DA8">
            <w:pPr>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absBonusRateStructValueString</w:t>
            </w:r>
            <w:proofErr w:type="spellEnd"/>
            <w:r>
              <w:rPr>
                <w:rFonts w:ascii="楷体" w:eastAsia="楷体" w:hAnsi="楷体" w:cs="楷体"/>
                <w:sz w:val="18"/>
                <w:szCs w:val="18"/>
              </w:rPr>
              <w:t>}}</w:t>
            </w:r>
          </w:p>
        </w:tc>
      </w:tr>
      <w:tr w:rsidR="00897870" w14:paraId="18350210" w14:textId="77777777" w:rsidTr="008521BF">
        <w:trPr>
          <w:gridAfter w:val="1"/>
          <w:wAfter w:w="12" w:type="dxa"/>
          <w:trHeight w:val="363"/>
        </w:trPr>
        <w:tc>
          <w:tcPr>
            <w:tcW w:w="2830" w:type="dxa"/>
            <w:shd w:val="clear" w:color="auto" w:fill="F2F2F2" w:themeFill="background1" w:themeFillShade="F2"/>
          </w:tcPr>
          <w:p w14:paraId="25D56FA3" w14:textId="77777777" w:rsidR="00897870" w:rsidRPr="00EC6BB9" w:rsidDel="00B569E3" w:rsidRDefault="00897870" w:rsidP="00897870">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082896FC" w14:textId="03DF2D52" w:rsidR="00897870" w:rsidDel="00B569E3" w:rsidRDefault="00061FE3" w:rsidP="00897870">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449CE259" w14:textId="77777777" w:rsidR="0069142B" w:rsidRDefault="0069142B" w:rsidP="0069142B">
      <w:pPr>
        <w:rPr>
          <w:rFonts w:ascii="楷体" w:eastAsia="楷体" w:hAnsi="楷体"/>
          <w:sz w:val="24"/>
          <w:szCs w:val="24"/>
        </w:rPr>
        <w:sectPr w:rsidR="0069142B" w:rsidSect="00F42D20">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69142B" w:rsidRPr="00C00C15" w14:paraId="28733800"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51A4558F" w14:textId="77777777" w:rsidR="0069142B" w:rsidRPr="008521BF" w:rsidRDefault="0069142B" w:rsidP="008521BF">
            <w:pPr>
              <w:wordWrap w:val="0"/>
              <w:rPr>
                <w:rFonts w:ascii="黑体" w:eastAsia="黑体" w:hAnsi="黑体"/>
                <w:szCs w:val="21"/>
              </w:rPr>
            </w:pPr>
            <w:r>
              <w:rPr>
                <w:rFonts w:ascii="黑体" w:eastAsia="黑体" w:hAnsi="黑体" w:hint="eastAsia"/>
                <w:sz w:val="21"/>
                <w:szCs w:val="21"/>
              </w:rPr>
              <w:lastRenderedPageBreak/>
              <w:t>二、</w:t>
            </w:r>
            <w:r w:rsidRPr="008521BF">
              <w:rPr>
                <w:rFonts w:ascii="黑体" w:eastAsia="黑体" w:hAnsi="黑体" w:hint="eastAsia"/>
                <w:sz w:val="21"/>
                <w:szCs w:val="21"/>
              </w:rPr>
              <w:t>交易要素定义（具体要素以“交易要素明细”为准）</w:t>
            </w:r>
          </w:p>
        </w:tc>
      </w:tr>
      <w:tr w:rsidR="0069142B" w:rsidRPr="00C00C15" w14:paraId="4C4C70B5" w14:textId="77777777" w:rsidTr="008521BF">
        <w:trPr>
          <w:trHeight w:val="20"/>
        </w:trPr>
        <w:tc>
          <w:tcPr>
            <w:tcW w:w="2835" w:type="dxa"/>
            <w:tcBorders>
              <w:top w:val="single" w:sz="12" w:space="0" w:color="auto"/>
              <w:left w:val="nil"/>
              <w:bottom w:val="nil"/>
            </w:tcBorders>
          </w:tcPr>
          <w:p w14:paraId="673824CD" w14:textId="77777777" w:rsidR="0069142B" w:rsidRPr="00EC6BB9" w:rsidRDefault="0069142B"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6FE8AD47" w14:textId="77777777" w:rsidR="0069142B" w:rsidRPr="00EC6BB9" w:rsidRDefault="0069142B"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69142B" w:rsidRPr="00C00C15" w14:paraId="60E2ED37" w14:textId="77777777" w:rsidTr="008521BF">
        <w:trPr>
          <w:trHeight w:val="20"/>
        </w:trPr>
        <w:tc>
          <w:tcPr>
            <w:tcW w:w="2835" w:type="dxa"/>
            <w:tcBorders>
              <w:top w:val="nil"/>
              <w:left w:val="nil"/>
              <w:bottom w:val="nil"/>
            </w:tcBorders>
          </w:tcPr>
          <w:p w14:paraId="2B8CA998"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4E52FDE4"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69142B" w:rsidRPr="00C00C15" w14:paraId="587096CC" w14:textId="77777777" w:rsidTr="008521BF">
        <w:trPr>
          <w:trHeight w:val="20"/>
        </w:trPr>
        <w:tc>
          <w:tcPr>
            <w:tcW w:w="2835" w:type="dxa"/>
            <w:tcBorders>
              <w:top w:val="nil"/>
              <w:left w:val="nil"/>
              <w:bottom w:val="nil"/>
            </w:tcBorders>
          </w:tcPr>
          <w:p w14:paraId="7CB34B91"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566EBCC"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69142B" w:rsidRPr="00C00C15" w14:paraId="61BDFD4B" w14:textId="77777777" w:rsidTr="008521BF">
        <w:trPr>
          <w:trHeight w:val="20"/>
        </w:trPr>
        <w:tc>
          <w:tcPr>
            <w:tcW w:w="2835" w:type="dxa"/>
            <w:tcBorders>
              <w:top w:val="nil"/>
              <w:left w:val="nil"/>
              <w:bottom w:val="nil"/>
            </w:tcBorders>
          </w:tcPr>
          <w:p w14:paraId="7255F7F5"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71668C3"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69142B" w:rsidRPr="00C00C15" w14:paraId="6ADD2EAD" w14:textId="77777777" w:rsidTr="008521BF">
        <w:trPr>
          <w:trHeight w:val="20"/>
        </w:trPr>
        <w:tc>
          <w:tcPr>
            <w:tcW w:w="2835" w:type="dxa"/>
            <w:tcBorders>
              <w:top w:val="nil"/>
              <w:left w:val="nil"/>
              <w:bottom w:val="nil"/>
            </w:tcBorders>
          </w:tcPr>
          <w:p w14:paraId="50AB1B22"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4F3CCEF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69142B" w:rsidRPr="00C00C15" w14:paraId="5CE66A77" w14:textId="77777777" w:rsidTr="008521BF">
        <w:trPr>
          <w:trHeight w:val="20"/>
        </w:trPr>
        <w:tc>
          <w:tcPr>
            <w:tcW w:w="2835" w:type="dxa"/>
            <w:tcBorders>
              <w:top w:val="nil"/>
              <w:left w:val="nil"/>
              <w:bottom w:val="nil"/>
            </w:tcBorders>
          </w:tcPr>
          <w:p w14:paraId="4254853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F87EEF1"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69142B" w:rsidRPr="00C00C15" w14:paraId="04EF46A6" w14:textId="77777777" w:rsidTr="008521BF">
        <w:trPr>
          <w:trHeight w:val="20"/>
        </w:trPr>
        <w:tc>
          <w:tcPr>
            <w:tcW w:w="2835" w:type="dxa"/>
            <w:tcBorders>
              <w:top w:val="nil"/>
              <w:left w:val="nil"/>
              <w:bottom w:val="nil"/>
            </w:tcBorders>
          </w:tcPr>
          <w:p w14:paraId="0E8F4C0C"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2A6522A8"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69142B" w:rsidRPr="00C00C15" w14:paraId="3BFFB0FD" w14:textId="77777777" w:rsidTr="008521BF">
        <w:trPr>
          <w:trHeight w:val="20"/>
        </w:trPr>
        <w:tc>
          <w:tcPr>
            <w:tcW w:w="2835" w:type="dxa"/>
            <w:tcBorders>
              <w:top w:val="nil"/>
              <w:left w:val="nil"/>
              <w:bottom w:val="nil"/>
            </w:tcBorders>
          </w:tcPr>
          <w:p w14:paraId="6A7609F2"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D68793B"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69142B" w:rsidRPr="00C00C15" w14:paraId="6764F7F6" w14:textId="77777777" w:rsidTr="008521BF">
        <w:trPr>
          <w:trHeight w:val="20"/>
        </w:trPr>
        <w:tc>
          <w:tcPr>
            <w:tcW w:w="2835" w:type="dxa"/>
            <w:tcBorders>
              <w:top w:val="nil"/>
              <w:left w:val="nil"/>
              <w:bottom w:val="nil"/>
            </w:tcBorders>
          </w:tcPr>
          <w:p w14:paraId="5B35AA9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34DEEE33"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69142B" w:rsidRPr="00C00C15" w14:paraId="29D87B2C" w14:textId="77777777" w:rsidTr="008521BF">
        <w:trPr>
          <w:trHeight w:val="20"/>
        </w:trPr>
        <w:tc>
          <w:tcPr>
            <w:tcW w:w="2835" w:type="dxa"/>
            <w:tcBorders>
              <w:top w:val="nil"/>
              <w:left w:val="nil"/>
              <w:bottom w:val="nil"/>
            </w:tcBorders>
          </w:tcPr>
          <w:p w14:paraId="2789859D"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1D7AB6E"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69142B" w:rsidRPr="00C00C15" w14:paraId="3BF54CFD" w14:textId="77777777" w:rsidTr="008521BF">
        <w:trPr>
          <w:trHeight w:val="20"/>
        </w:trPr>
        <w:tc>
          <w:tcPr>
            <w:tcW w:w="2835" w:type="dxa"/>
            <w:tcBorders>
              <w:top w:val="nil"/>
              <w:left w:val="nil"/>
              <w:bottom w:val="nil"/>
            </w:tcBorders>
          </w:tcPr>
          <w:p w14:paraId="70FA0326"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4257C38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69142B" w:rsidRPr="00C00C15" w14:paraId="0FDA6DCE" w14:textId="77777777" w:rsidTr="008521BF">
        <w:trPr>
          <w:trHeight w:val="20"/>
        </w:trPr>
        <w:tc>
          <w:tcPr>
            <w:tcW w:w="2835" w:type="dxa"/>
            <w:tcBorders>
              <w:top w:val="nil"/>
              <w:left w:val="nil"/>
              <w:bottom w:val="nil"/>
            </w:tcBorders>
          </w:tcPr>
          <w:p w14:paraId="4C97672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5DAD9E" w14:textId="77777777" w:rsidR="0069142B" w:rsidRPr="00EC6BB9" w:rsidRDefault="0069142B"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69142B" w:rsidRPr="00C00C15" w14:paraId="43DC797E" w14:textId="77777777" w:rsidTr="008521BF">
        <w:trPr>
          <w:trHeight w:val="20"/>
        </w:trPr>
        <w:tc>
          <w:tcPr>
            <w:tcW w:w="2835" w:type="dxa"/>
            <w:tcBorders>
              <w:top w:val="nil"/>
              <w:left w:val="nil"/>
              <w:bottom w:val="nil"/>
            </w:tcBorders>
          </w:tcPr>
          <w:p w14:paraId="49B31E6C" w14:textId="77777777" w:rsidR="0069142B" w:rsidRPr="00EC6BB9"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901" w:type="dxa"/>
            <w:tcBorders>
              <w:top w:val="nil"/>
              <w:bottom w:val="nil"/>
              <w:right w:val="nil"/>
            </w:tcBorders>
          </w:tcPr>
          <w:p w14:paraId="77A303F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8521BF">
              <w:rPr>
                <w:rFonts w:ascii="楷体" w:eastAsia="楷体" w:hAnsi="楷体" w:hint="eastAsia"/>
                <w:sz w:val="18"/>
                <w:szCs w:val="18"/>
              </w:rPr>
              <w:t>期权</w:t>
            </w:r>
            <w:proofErr w:type="gramEnd"/>
            <w:r w:rsidRPr="008521BF">
              <w:rPr>
                <w:rFonts w:ascii="楷体" w:eastAsia="楷体" w:hAnsi="楷体" w:hint="eastAsia"/>
                <w:sz w:val="18"/>
                <w:szCs w:val="18"/>
              </w:rPr>
              <w:t>费</w:t>
            </w:r>
            <w:r w:rsidRPr="00EC6BB9">
              <w:rPr>
                <w:rFonts w:ascii="楷体" w:eastAsia="楷体" w:hAnsi="楷体" w:hint="eastAsia"/>
                <w:sz w:val="18"/>
                <w:szCs w:val="18"/>
              </w:rPr>
              <w:t>率</w:t>
            </w:r>
            <w:r>
              <w:rPr>
                <w:rFonts w:ascii="楷体" w:eastAsia="楷体" w:hAnsi="楷体" w:hint="eastAsia"/>
                <w:sz w:val="18"/>
                <w:szCs w:val="18"/>
              </w:rPr>
              <w:t>。</w:t>
            </w:r>
          </w:p>
        </w:tc>
      </w:tr>
      <w:tr w:rsidR="0069142B" w:rsidRPr="00C00C15" w14:paraId="35FB440D" w14:textId="77777777" w:rsidTr="008521BF">
        <w:trPr>
          <w:trHeight w:val="20"/>
        </w:trPr>
        <w:tc>
          <w:tcPr>
            <w:tcW w:w="2835" w:type="dxa"/>
            <w:tcBorders>
              <w:top w:val="nil"/>
              <w:left w:val="nil"/>
              <w:bottom w:val="nil"/>
            </w:tcBorders>
          </w:tcPr>
          <w:p w14:paraId="7C2DB15C" w14:textId="77777777" w:rsidR="0069142B" w:rsidRPr="00EC6BB9"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7FFA0769"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8521BF">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9142B" w:rsidRPr="00C00C15" w14:paraId="0B56C950" w14:textId="77777777" w:rsidTr="008521BF">
        <w:trPr>
          <w:trHeight w:val="20"/>
        </w:trPr>
        <w:tc>
          <w:tcPr>
            <w:tcW w:w="2835" w:type="dxa"/>
            <w:tcBorders>
              <w:top w:val="nil"/>
              <w:left w:val="nil"/>
              <w:bottom w:val="nil"/>
            </w:tcBorders>
          </w:tcPr>
          <w:p w14:paraId="036E78C6" w14:textId="77777777" w:rsidR="0069142B" w:rsidRDefault="0069142B"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401BF36F" w14:textId="77777777" w:rsidR="0069142B" w:rsidRPr="00EC6BB9" w:rsidRDefault="0069142B" w:rsidP="008521BF">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69142B" w:rsidRPr="00D92624" w14:paraId="39678C0C" w14:textId="77777777" w:rsidTr="008521BF">
        <w:trPr>
          <w:trHeight w:val="20"/>
        </w:trPr>
        <w:tc>
          <w:tcPr>
            <w:tcW w:w="2835" w:type="dxa"/>
            <w:tcBorders>
              <w:top w:val="nil"/>
              <w:left w:val="nil"/>
              <w:bottom w:val="nil"/>
            </w:tcBorders>
          </w:tcPr>
          <w:p w14:paraId="1B75A954" w14:textId="77777777" w:rsidR="0069142B" w:rsidRPr="00E86481" w:rsidRDefault="0069142B"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0BEDB5E3"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69142B" w:rsidRPr="00D92624" w14:paraId="0F55C404" w14:textId="77777777" w:rsidTr="008521BF">
        <w:trPr>
          <w:trHeight w:val="20"/>
        </w:trPr>
        <w:tc>
          <w:tcPr>
            <w:tcW w:w="2835" w:type="dxa"/>
            <w:tcBorders>
              <w:top w:val="nil"/>
              <w:left w:val="nil"/>
              <w:bottom w:val="nil"/>
            </w:tcBorders>
          </w:tcPr>
          <w:p w14:paraId="5474863E" w14:textId="77777777" w:rsidR="0069142B" w:rsidRPr="00E86481" w:rsidRDefault="0069142B"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154EE938"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69142B" w:rsidRPr="00C00C15" w14:paraId="54120F2B" w14:textId="77777777" w:rsidTr="008521BF">
        <w:trPr>
          <w:trHeight w:val="20"/>
        </w:trPr>
        <w:tc>
          <w:tcPr>
            <w:tcW w:w="2835" w:type="dxa"/>
            <w:tcBorders>
              <w:top w:val="nil"/>
              <w:left w:val="nil"/>
              <w:bottom w:val="nil"/>
            </w:tcBorders>
          </w:tcPr>
          <w:p w14:paraId="684D898B" w14:textId="77777777" w:rsidR="0069142B" w:rsidRPr="00EC6BB9" w:rsidRDefault="0069142B" w:rsidP="008521BF">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01A28D44"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69142B" w:rsidRPr="00C00C15" w14:paraId="6F36F3CB" w14:textId="77777777" w:rsidTr="008521BF">
        <w:trPr>
          <w:trHeight w:val="20"/>
        </w:trPr>
        <w:tc>
          <w:tcPr>
            <w:tcW w:w="2835" w:type="dxa"/>
            <w:tcBorders>
              <w:top w:val="nil"/>
              <w:left w:val="nil"/>
              <w:bottom w:val="nil"/>
            </w:tcBorders>
          </w:tcPr>
          <w:p w14:paraId="53DCB791" w14:textId="77777777" w:rsidR="0069142B" w:rsidRPr="00EC6BB9" w:rsidRDefault="0069142B" w:rsidP="008521BF">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901" w:type="dxa"/>
            <w:tcBorders>
              <w:top w:val="nil"/>
              <w:bottom w:val="nil"/>
              <w:right w:val="nil"/>
            </w:tcBorders>
          </w:tcPr>
          <w:p w14:paraId="557B1DE6"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69142B" w:rsidRPr="00C00C15" w14:paraId="782E7C2E" w14:textId="77777777" w:rsidTr="008521BF">
        <w:trPr>
          <w:trHeight w:val="20"/>
        </w:trPr>
        <w:tc>
          <w:tcPr>
            <w:tcW w:w="2835" w:type="dxa"/>
            <w:tcBorders>
              <w:top w:val="nil"/>
              <w:left w:val="nil"/>
              <w:bottom w:val="single" w:sz="12" w:space="0" w:color="auto"/>
            </w:tcBorders>
          </w:tcPr>
          <w:p w14:paraId="2A339A86" w14:textId="77777777" w:rsidR="0069142B" w:rsidRDefault="0069142B" w:rsidP="008521BF">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18BBD030"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8521BF">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2A5EDA23" w14:textId="77777777" w:rsidR="0069142B" w:rsidRPr="00EC6BB9" w:rsidRDefault="0069142B" w:rsidP="0069142B">
      <w:pPr>
        <w:rPr>
          <w:rFonts w:ascii="楷体" w:eastAsia="楷体" w:hAnsi="楷体"/>
          <w:sz w:val="18"/>
          <w:szCs w:val="18"/>
        </w:rPr>
        <w:sectPr w:rsidR="0069142B" w:rsidRPr="00EC6BB9" w:rsidSect="00F42D20">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69142B" w:rsidRPr="00C00C15" w14:paraId="0F3797B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3E33A13" w14:textId="77777777" w:rsidR="0069142B" w:rsidRPr="00EC6BB9" w:rsidRDefault="0069142B"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69142B" w:rsidRPr="00C00C15" w14:paraId="066A3974" w14:textId="77777777" w:rsidTr="008521BF">
        <w:trPr>
          <w:trHeight w:val="20"/>
        </w:trPr>
        <w:tc>
          <w:tcPr>
            <w:tcW w:w="2831" w:type="dxa"/>
            <w:gridSpan w:val="2"/>
            <w:tcBorders>
              <w:top w:val="nil"/>
              <w:left w:val="nil"/>
              <w:bottom w:val="nil"/>
            </w:tcBorders>
          </w:tcPr>
          <w:p w14:paraId="62C3EC6B"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1151B3C5"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69142B" w:rsidRPr="00C00C15" w14:paraId="231E81F9" w14:textId="77777777" w:rsidTr="008521BF">
        <w:trPr>
          <w:trHeight w:val="20"/>
        </w:trPr>
        <w:tc>
          <w:tcPr>
            <w:tcW w:w="2831" w:type="dxa"/>
            <w:gridSpan w:val="2"/>
            <w:tcBorders>
              <w:top w:val="nil"/>
              <w:left w:val="nil"/>
              <w:bottom w:val="nil"/>
            </w:tcBorders>
          </w:tcPr>
          <w:p w14:paraId="342AC30D"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7898E21" w14:textId="77777777" w:rsidR="0069142B" w:rsidRPr="00EC6BB9" w:rsidRDefault="0069142B" w:rsidP="008521BF">
            <w:pPr>
              <w:wordWrap w:val="0"/>
              <w:rPr>
                <w:rFonts w:ascii="楷体" w:eastAsia="楷体" w:hAnsi="楷体"/>
                <w:sz w:val="18"/>
                <w:szCs w:val="18"/>
              </w:rPr>
            </w:pPr>
            <w:r>
              <w:rPr>
                <w:rFonts w:ascii="楷体" w:eastAsia="楷体" w:hAnsi="楷体" w:hint="eastAsia"/>
                <w:sz w:val="18"/>
                <w:szCs w:val="18"/>
              </w:rPr>
              <w:t>乙方需要</w:t>
            </w:r>
            <w:r w:rsidRPr="00EC6BB9">
              <w:rPr>
                <w:rFonts w:ascii="楷体" w:eastAsia="楷体" w:hAnsi="楷体" w:hint="eastAsia"/>
                <w:sz w:val="18"/>
                <w:szCs w:val="18"/>
              </w:rPr>
              <w:t>缴纳的初始合格履约保障品金额</w:t>
            </w:r>
            <w:r>
              <w:rPr>
                <w:rFonts w:ascii="楷体" w:eastAsia="楷体" w:hAnsi="楷体" w:hint="eastAsia"/>
                <w:sz w:val="18"/>
                <w:szCs w:val="18"/>
              </w:rPr>
              <w:t>，具体以甲方通知为准</w:t>
            </w:r>
            <w:r w:rsidRPr="00EC6BB9">
              <w:rPr>
                <w:rFonts w:ascii="楷体" w:eastAsia="楷体" w:hAnsi="楷体" w:hint="eastAsia"/>
                <w:sz w:val="18"/>
                <w:szCs w:val="18"/>
              </w:rPr>
              <w:t>。</w:t>
            </w:r>
          </w:p>
        </w:tc>
      </w:tr>
      <w:tr w:rsidR="0069142B" w:rsidRPr="00C00C15" w14:paraId="5AD12BBA" w14:textId="77777777" w:rsidTr="008521BF">
        <w:trPr>
          <w:trHeight w:val="20"/>
        </w:trPr>
        <w:tc>
          <w:tcPr>
            <w:tcW w:w="2831" w:type="dxa"/>
            <w:gridSpan w:val="2"/>
            <w:tcBorders>
              <w:top w:val="nil"/>
              <w:left w:val="nil"/>
              <w:bottom w:val="nil"/>
            </w:tcBorders>
          </w:tcPr>
          <w:p w14:paraId="646CFC34"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4414536C"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69142B" w:rsidRPr="00C00C15" w14:paraId="4E30D836" w14:textId="77777777" w:rsidTr="008521BF">
        <w:trPr>
          <w:trHeight w:val="20"/>
        </w:trPr>
        <w:tc>
          <w:tcPr>
            <w:tcW w:w="2831" w:type="dxa"/>
            <w:gridSpan w:val="2"/>
            <w:tcBorders>
              <w:top w:val="nil"/>
              <w:left w:val="nil"/>
              <w:bottom w:val="nil"/>
            </w:tcBorders>
          </w:tcPr>
          <w:p w14:paraId="25876214" w14:textId="77777777" w:rsidR="0069142B" w:rsidRPr="00EC6BB9" w:rsidRDefault="0069142B" w:rsidP="0069142B">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55CA5522" w14:textId="77777777" w:rsidR="0069142B" w:rsidRPr="00EC6BB9" w:rsidRDefault="0069142B"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69142B" w:rsidRPr="00C00C15" w14:paraId="3C7BA125" w14:textId="77777777" w:rsidTr="008521BF">
        <w:trPr>
          <w:trHeight w:val="20"/>
        </w:trPr>
        <w:tc>
          <w:tcPr>
            <w:tcW w:w="2831" w:type="dxa"/>
            <w:gridSpan w:val="2"/>
            <w:tcBorders>
              <w:top w:val="nil"/>
              <w:left w:val="nil"/>
              <w:bottom w:val="single" w:sz="12" w:space="0" w:color="auto"/>
            </w:tcBorders>
          </w:tcPr>
          <w:p w14:paraId="42E367CF" w14:textId="77777777" w:rsidR="0069142B" w:rsidRPr="00EC6BB9" w:rsidRDefault="0069142B"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29124206" w14:textId="77777777" w:rsidR="0069142B" w:rsidRPr="00EC6BB9" w:rsidRDefault="0069142B"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69142B" w:rsidRPr="00C00C15" w14:paraId="0AB8F81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6DE1CE6C"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8521BF">
              <w:rPr>
                <w:rFonts w:ascii="黑体" w:eastAsia="黑体" w:hAnsi="黑体" w:hint="eastAsia"/>
                <w:szCs w:val="21"/>
              </w:rPr>
              <w:t>期权费及</w:t>
            </w:r>
            <w:r w:rsidRPr="00EC6BB9">
              <w:rPr>
                <w:rFonts w:ascii="黑体" w:eastAsia="黑体" w:hAnsi="黑体" w:hint="eastAsia"/>
                <w:sz w:val="21"/>
                <w:szCs w:val="21"/>
              </w:rPr>
              <w:t>结算支付条款</w:t>
            </w:r>
          </w:p>
        </w:tc>
      </w:tr>
      <w:bookmarkEnd w:id="1"/>
      <w:tr w:rsidR="0069142B" w:rsidRPr="00C00C15" w:rsidDel="000C5799" w14:paraId="76907C95" w14:textId="77777777" w:rsidTr="008521BF">
        <w:trPr>
          <w:trHeight w:val="20"/>
        </w:trPr>
        <w:tc>
          <w:tcPr>
            <w:tcW w:w="2798" w:type="dxa"/>
            <w:tcBorders>
              <w:top w:val="single" w:sz="12" w:space="0" w:color="auto"/>
              <w:left w:val="nil"/>
              <w:bottom w:val="nil"/>
            </w:tcBorders>
          </w:tcPr>
          <w:p w14:paraId="7512C274" w14:textId="77777777" w:rsidR="0069142B" w:rsidRPr="00EC6BB9" w:rsidDel="000C5799" w:rsidRDefault="0069142B" w:rsidP="0069142B">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6BBAC124" w14:textId="77777777" w:rsidR="0069142B" w:rsidRPr="00C00C15" w:rsidDel="000C5799" w:rsidRDefault="0069142B"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8521BF">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69142B" w:rsidRPr="00C00C15" w14:paraId="41C1815C" w14:textId="77777777" w:rsidTr="008521BF">
        <w:trPr>
          <w:trHeight w:val="20"/>
        </w:trPr>
        <w:tc>
          <w:tcPr>
            <w:tcW w:w="2798" w:type="dxa"/>
            <w:tcBorders>
              <w:top w:val="nil"/>
              <w:left w:val="nil"/>
              <w:bottom w:val="nil"/>
            </w:tcBorders>
          </w:tcPr>
          <w:p w14:paraId="20085FBC"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C4D6FA8"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69142B" w:rsidRPr="00C00C15" w14:paraId="5A9D2398" w14:textId="77777777" w:rsidTr="008521BF">
        <w:trPr>
          <w:trHeight w:val="20"/>
        </w:trPr>
        <w:tc>
          <w:tcPr>
            <w:tcW w:w="2798" w:type="dxa"/>
            <w:tcBorders>
              <w:top w:val="nil"/>
              <w:left w:val="nil"/>
              <w:bottom w:val="nil"/>
            </w:tcBorders>
          </w:tcPr>
          <w:p w14:paraId="378C6DAE"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21587C16"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69142B" w:rsidRPr="00C00C15" w14:paraId="0619163D" w14:textId="77777777" w:rsidTr="008521BF">
        <w:trPr>
          <w:trHeight w:val="20"/>
        </w:trPr>
        <w:tc>
          <w:tcPr>
            <w:tcW w:w="2798" w:type="dxa"/>
            <w:tcBorders>
              <w:top w:val="nil"/>
              <w:left w:val="nil"/>
              <w:bottom w:val="nil"/>
            </w:tcBorders>
          </w:tcPr>
          <w:p w14:paraId="596B629F"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07B356E4"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69142B" w:rsidRPr="00C00C15" w14:paraId="03EC58B4" w14:textId="77777777" w:rsidTr="008521BF">
        <w:trPr>
          <w:trHeight w:val="20"/>
        </w:trPr>
        <w:tc>
          <w:tcPr>
            <w:tcW w:w="2798" w:type="dxa"/>
            <w:tcBorders>
              <w:top w:val="nil"/>
              <w:left w:val="nil"/>
              <w:bottom w:val="nil"/>
            </w:tcBorders>
          </w:tcPr>
          <w:p w14:paraId="0B76D87D"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695BDAF8" w14:textId="77777777" w:rsidR="0069142B" w:rsidRPr="00C00C15" w:rsidRDefault="0069142B" w:rsidP="008521BF">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roofErr w:type="gramStart"/>
            <w:r>
              <w:rPr>
                <w:rFonts w:ascii="楷体" w:eastAsia="楷体" w:hAnsi="楷体" w:hint="eastAsia"/>
                <w:sz w:val="18"/>
                <w:szCs w:val="18"/>
              </w:rPr>
              <w:t>年化期权</w:t>
            </w:r>
            <w:proofErr w:type="gramEnd"/>
            <w:r>
              <w:rPr>
                <w:rFonts w:ascii="楷体" w:eastAsia="楷体" w:hAnsi="楷体" w:hint="eastAsia"/>
                <w:sz w:val="18"/>
                <w:szCs w:val="18"/>
              </w:rPr>
              <w:t>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69142B" w:rsidRPr="00C00C15" w14:paraId="163B5F5B" w14:textId="77777777" w:rsidTr="008521BF">
        <w:trPr>
          <w:trHeight w:val="20"/>
        </w:trPr>
        <w:tc>
          <w:tcPr>
            <w:tcW w:w="2798" w:type="dxa"/>
            <w:tcBorders>
              <w:top w:val="nil"/>
              <w:left w:val="nil"/>
              <w:bottom w:val="nil"/>
            </w:tcBorders>
          </w:tcPr>
          <w:p w14:paraId="1D13A77E" w14:textId="77777777" w:rsidR="0069142B" w:rsidRPr="00E86481" w:rsidRDefault="0069142B" w:rsidP="0069142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160D45CC"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69142B" w:rsidRPr="00C00C15" w14:paraId="087DC468" w14:textId="77777777" w:rsidTr="008521BF">
        <w:trPr>
          <w:trHeight w:val="20"/>
        </w:trPr>
        <w:tc>
          <w:tcPr>
            <w:tcW w:w="2798" w:type="dxa"/>
            <w:tcBorders>
              <w:top w:val="nil"/>
              <w:left w:val="nil"/>
              <w:bottom w:val="nil"/>
            </w:tcBorders>
          </w:tcPr>
          <w:p w14:paraId="7EC5DB08" w14:textId="77777777" w:rsidR="0069142B" w:rsidRPr="00E86481" w:rsidRDefault="0069142B" w:rsidP="0069142B">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0770ABDC"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w:t>
            </w:r>
            <w:proofErr w:type="gramStart"/>
            <w:r>
              <w:rPr>
                <w:rFonts w:ascii="楷体" w:eastAsia="楷体" w:hAnsi="楷体" w:hint="eastAsia"/>
                <w:sz w:val="18"/>
                <w:szCs w:val="18"/>
              </w:rPr>
              <w:t>期年化</w:t>
            </w:r>
            <w:proofErr w:type="gramEnd"/>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69142B" w:rsidRPr="00C00C15" w14:paraId="58FACF5F" w14:textId="77777777" w:rsidTr="008521BF">
        <w:trPr>
          <w:trHeight w:val="20"/>
        </w:trPr>
        <w:tc>
          <w:tcPr>
            <w:tcW w:w="2798" w:type="dxa"/>
            <w:tcBorders>
              <w:top w:val="nil"/>
              <w:left w:val="nil"/>
              <w:bottom w:val="nil"/>
            </w:tcBorders>
          </w:tcPr>
          <w:p w14:paraId="5BE48712"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691EADB4"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69142B" w:rsidRPr="00C00C15" w14:paraId="2D109FDA" w14:textId="77777777" w:rsidTr="008521BF">
        <w:trPr>
          <w:trHeight w:val="20"/>
        </w:trPr>
        <w:tc>
          <w:tcPr>
            <w:tcW w:w="2798" w:type="dxa"/>
            <w:tcBorders>
              <w:top w:val="nil"/>
              <w:left w:val="nil"/>
              <w:bottom w:val="single" w:sz="12" w:space="0" w:color="auto"/>
            </w:tcBorders>
          </w:tcPr>
          <w:p w14:paraId="28F24874" w14:textId="77777777" w:rsidR="0069142B" w:rsidRPr="00EC6BB9" w:rsidRDefault="0069142B" w:rsidP="0069142B">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71D254EB" w14:textId="77777777" w:rsidR="0069142B" w:rsidRPr="00C00C15" w:rsidRDefault="0069142B" w:rsidP="008521BF">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w:t>
            </w:r>
            <w:r w:rsidRPr="00C00C15">
              <w:rPr>
                <w:rFonts w:ascii="楷体" w:eastAsia="楷体" w:hAnsi="楷体" w:hint="eastAsia"/>
                <w:sz w:val="18"/>
                <w:szCs w:val="18"/>
              </w:rPr>
              <w:lastRenderedPageBreak/>
              <w:t>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tr w:rsidR="0069142B" w:rsidRPr="00C00C15" w14:paraId="025E2E9F"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1D137FF"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69142B" w:rsidRPr="00C00C15" w14:paraId="1357CB29" w14:textId="77777777" w:rsidTr="008521BF">
        <w:trPr>
          <w:trHeight w:val="20"/>
        </w:trPr>
        <w:tc>
          <w:tcPr>
            <w:tcW w:w="2798" w:type="dxa"/>
            <w:tcBorders>
              <w:top w:val="nil"/>
              <w:left w:val="nil"/>
              <w:bottom w:val="nil"/>
            </w:tcBorders>
          </w:tcPr>
          <w:p w14:paraId="722F3C56" w14:textId="77777777" w:rsidR="0069142B" w:rsidRPr="00EC6BB9" w:rsidRDefault="0069142B" w:rsidP="0069142B">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92AA064"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69142B" w:rsidRPr="00C00C15" w14:paraId="738BCE0D" w14:textId="77777777" w:rsidTr="008521BF">
        <w:trPr>
          <w:trHeight w:val="20"/>
        </w:trPr>
        <w:tc>
          <w:tcPr>
            <w:tcW w:w="2798" w:type="dxa"/>
            <w:tcBorders>
              <w:top w:val="nil"/>
              <w:left w:val="nil"/>
              <w:bottom w:val="nil"/>
            </w:tcBorders>
          </w:tcPr>
          <w:p w14:paraId="2A19AB87"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5D62665"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69142B" w:rsidRPr="00C00C15" w14:paraId="374009A8" w14:textId="77777777" w:rsidTr="008521BF">
        <w:trPr>
          <w:trHeight w:val="20"/>
        </w:trPr>
        <w:tc>
          <w:tcPr>
            <w:tcW w:w="2798" w:type="dxa"/>
            <w:tcBorders>
              <w:top w:val="nil"/>
              <w:left w:val="nil"/>
              <w:bottom w:val="nil"/>
            </w:tcBorders>
          </w:tcPr>
          <w:p w14:paraId="556CAF00"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826A97"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69142B" w:rsidRPr="00C00C15" w14:paraId="41206E28" w14:textId="77777777" w:rsidTr="008521BF">
        <w:trPr>
          <w:trHeight w:val="20"/>
        </w:trPr>
        <w:tc>
          <w:tcPr>
            <w:tcW w:w="2798" w:type="dxa"/>
            <w:tcBorders>
              <w:top w:val="nil"/>
              <w:left w:val="nil"/>
              <w:bottom w:val="nil"/>
            </w:tcBorders>
          </w:tcPr>
          <w:p w14:paraId="2EBF53F7"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7D04EDB7"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69142B" w:rsidRPr="00C00C15" w14:paraId="5FE89BA5" w14:textId="77777777" w:rsidTr="008521BF">
        <w:trPr>
          <w:trHeight w:val="20"/>
        </w:trPr>
        <w:tc>
          <w:tcPr>
            <w:tcW w:w="2798" w:type="dxa"/>
            <w:tcBorders>
              <w:top w:val="nil"/>
              <w:left w:val="nil"/>
              <w:bottom w:val="single" w:sz="12" w:space="0" w:color="auto"/>
            </w:tcBorders>
          </w:tcPr>
          <w:p w14:paraId="142EC4EF" w14:textId="77777777" w:rsidR="0069142B" w:rsidRPr="00EC6BB9" w:rsidRDefault="0069142B" w:rsidP="0069142B">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6145B47A"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我司</w:t>
            </w:r>
          </w:p>
          <w:p w14:paraId="4A299A3D" w14:textId="77777777" w:rsidR="0069142B" w:rsidRPr="00EC6BB9" w:rsidRDefault="0069142B"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390F01E8"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0FC902C4"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D7BD8BE"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0336CC11" w14:textId="77777777" w:rsidR="0069142B" w:rsidRPr="00EC6BB9" w:rsidRDefault="0069142B" w:rsidP="0069142B">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683F4FE3" w14:textId="77777777" w:rsidR="0069142B" w:rsidRPr="00EC6BB9" w:rsidRDefault="0069142B"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69142B" w:rsidRPr="00C00C15" w14:paraId="3B4EC653"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9A7F429" w14:textId="77777777" w:rsidR="0069142B" w:rsidRPr="00EC6BB9" w:rsidRDefault="0069142B"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69142B" w:rsidRPr="00C00C15" w14:paraId="31DAE59D" w14:textId="77777777" w:rsidTr="008521BF">
        <w:trPr>
          <w:trHeight w:val="20"/>
        </w:trPr>
        <w:tc>
          <w:tcPr>
            <w:tcW w:w="2798" w:type="dxa"/>
            <w:tcBorders>
              <w:top w:val="nil"/>
              <w:left w:val="nil"/>
              <w:bottom w:val="nil"/>
            </w:tcBorders>
          </w:tcPr>
          <w:p w14:paraId="581B3AB0" w14:textId="77777777" w:rsidR="0069142B" w:rsidRPr="00EC6BB9" w:rsidRDefault="0069142B" w:rsidP="0069142B">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27A7584B" w14:textId="77777777" w:rsidR="0069142B" w:rsidRPr="00EC6BB9" w:rsidRDefault="0069142B"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9F2ED5E"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57890ADC"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3F728059"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26B2BBC9" w14:textId="77777777" w:rsidR="0069142B" w:rsidRPr="00EC6BB9" w:rsidRDefault="0069142B" w:rsidP="0069142B">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69142B" w:rsidRPr="00C00C15" w14:paraId="5BFA3CD0" w14:textId="77777777" w:rsidTr="008521BF">
        <w:trPr>
          <w:trHeight w:val="20"/>
        </w:trPr>
        <w:tc>
          <w:tcPr>
            <w:tcW w:w="2798" w:type="dxa"/>
            <w:tcBorders>
              <w:top w:val="nil"/>
              <w:left w:val="nil"/>
              <w:bottom w:val="nil"/>
            </w:tcBorders>
          </w:tcPr>
          <w:p w14:paraId="35A77879" w14:textId="77777777" w:rsidR="0069142B" w:rsidRPr="00E86481" w:rsidRDefault="0069142B" w:rsidP="0069142B">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74C59BE3" w14:textId="77777777" w:rsidR="0069142B" w:rsidRPr="00E86481" w:rsidRDefault="0069142B"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69142B" w:rsidRPr="00C00C15" w14:paraId="3EDC143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9FBE064" w14:textId="77777777" w:rsidR="0069142B" w:rsidRPr="00E86481" w:rsidRDefault="0069142B"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69142B" w:rsidRPr="00C00C15" w14:paraId="66474A58" w14:textId="77777777" w:rsidTr="008521BF">
        <w:trPr>
          <w:trHeight w:val="20"/>
        </w:trPr>
        <w:tc>
          <w:tcPr>
            <w:tcW w:w="2798" w:type="dxa"/>
            <w:tcBorders>
              <w:top w:val="single" w:sz="4" w:space="0" w:color="auto"/>
              <w:left w:val="nil"/>
              <w:bottom w:val="nil"/>
            </w:tcBorders>
          </w:tcPr>
          <w:p w14:paraId="1C00BBE1" w14:textId="77777777" w:rsidR="0069142B" w:rsidRPr="00E86481" w:rsidRDefault="0069142B" w:rsidP="0069142B">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6334732A"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6E32F696" w14:textId="77777777" w:rsidR="0069142B" w:rsidRPr="00E86481" w:rsidRDefault="0069142B" w:rsidP="0069142B">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342ABAA6" w14:textId="77777777" w:rsidR="0069142B" w:rsidRPr="00E86481" w:rsidRDefault="0069142B" w:rsidP="0069142B">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69142B" w:rsidRPr="00C00C15" w14:paraId="40382B0D" w14:textId="77777777" w:rsidTr="008521BF">
        <w:trPr>
          <w:trHeight w:val="20"/>
        </w:trPr>
        <w:tc>
          <w:tcPr>
            <w:tcW w:w="2798" w:type="dxa"/>
            <w:tcBorders>
              <w:top w:val="nil"/>
              <w:left w:val="nil"/>
              <w:bottom w:val="single" w:sz="12" w:space="0" w:color="auto"/>
            </w:tcBorders>
          </w:tcPr>
          <w:p w14:paraId="57FBFC37" w14:textId="77777777" w:rsidR="0069142B" w:rsidRPr="00E86481" w:rsidRDefault="0069142B" w:rsidP="0069142B">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7907B98C" w14:textId="77777777" w:rsidR="0069142B" w:rsidRPr="00E86481" w:rsidRDefault="0069142B"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38661B75" w14:textId="77777777" w:rsidR="0069142B" w:rsidRPr="00E86481" w:rsidRDefault="0069142B"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bookmarkEnd w:id="4"/>
    </w:tbl>
    <w:p w14:paraId="45D85981" w14:textId="0EC94279" w:rsidR="0069142B" w:rsidRDefault="0069142B" w:rsidP="0069142B">
      <w:pPr>
        <w:rPr>
          <w:rFonts w:ascii="楷体" w:eastAsia="楷体" w:hAnsi="楷体"/>
          <w:sz w:val="18"/>
          <w:szCs w:val="18"/>
        </w:rPr>
      </w:pPr>
    </w:p>
    <w:p w14:paraId="5A07D114" w14:textId="77777777" w:rsidR="0019381C" w:rsidRPr="00FC4FC3" w:rsidRDefault="0019381C" w:rsidP="0069142B">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69142B" w:rsidRPr="00C00C15" w14:paraId="3450A14A" w14:textId="77777777" w:rsidTr="008521BF">
        <w:trPr>
          <w:trHeight w:val="454"/>
        </w:trPr>
        <w:tc>
          <w:tcPr>
            <w:tcW w:w="9747" w:type="dxa"/>
            <w:shd w:val="clear" w:color="auto" w:fill="D9D9D9" w:themeFill="background1" w:themeFillShade="D9"/>
            <w:vAlign w:val="center"/>
          </w:tcPr>
          <w:p w14:paraId="17EE8428" w14:textId="77777777" w:rsidR="0069142B" w:rsidRPr="008521BF" w:rsidRDefault="0069142B" w:rsidP="0069142B">
            <w:pPr>
              <w:pStyle w:val="a8"/>
              <w:numPr>
                <w:ilvl w:val="0"/>
                <w:numId w:val="9"/>
              </w:numPr>
              <w:wordWrap w:val="0"/>
              <w:ind w:firstLineChars="0"/>
              <w:rPr>
                <w:rFonts w:ascii="黑体" w:eastAsia="黑体" w:hAnsi="黑体"/>
                <w:szCs w:val="21"/>
              </w:rPr>
            </w:pPr>
            <w:r w:rsidRPr="008521BF">
              <w:rPr>
                <w:rFonts w:ascii="黑体" w:eastAsia="黑体" w:hAnsi="黑体" w:hint="eastAsia"/>
                <w:szCs w:val="21"/>
              </w:rPr>
              <w:t>声明</w:t>
            </w:r>
          </w:p>
        </w:tc>
      </w:tr>
      <w:tr w:rsidR="0069142B" w:rsidRPr="00C00C15" w14:paraId="122D8652" w14:textId="77777777" w:rsidTr="008521BF">
        <w:trPr>
          <w:trHeight w:val="454"/>
        </w:trPr>
        <w:tc>
          <w:tcPr>
            <w:tcW w:w="9747" w:type="dxa"/>
            <w:vAlign w:val="center"/>
          </w:tcPr>
          <w:p w14:paraId="1448548D" w14:textId="77777777" w:rsidR="0069142B" w:rsidRPr="00EC6BB9" w:rsidRDefault="0069142B" w:rsidP="008521BF">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35E04F55"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9504CDD" w14:textId="77777777" w:rsidR="0069142B" w:rsidRPr="00EC6BB9" w:rsidRDefault="0069142B" w:rsidP="008521BF">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18A1A416" w14:textId="77777777" w:rsidR="0069142B" w:rsidRDefault="0069142B"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0C20A5C1" w14:textId="77777777" w:rsidR="0069142B" w:rsidRPr="00EC6BB9" w:rsidRDefault="0069142B"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B8394B5"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61ECDB6A" w14:textId="77777777" w:rsidR="0069142B" w:rsidRPr="00EC6BB9" w:rsidRDefault="0069142B" w:rsidP="008521BF">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6AA4E6B" w14:textId="77777777" w:rsidR="0069142B" w:rsidRPr="00EC6BB9" w:rsidRDefault="0069142B"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5E8F41B3"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38D86045" w14:textId="77777777" w:rsidR="0069142B" w:rsidRPr="00EC6BB9" w:rsidRDefault="0069142B"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5FF214A6"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650F1F7C"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1037C991"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473C7A45"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62B848D" w14:textId="77777777" w:rsidR="0069142B" w:rsidRPr="00EC6BB9" w:rsidRDefault="0069142B"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7E890D1B"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6AC8B69F"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lastRenderedPageBreak/>
              <w:t>司保证</w:t>
            </w:r>
            <w:proofErr w:type="gramEnd"/>
            <w:r w:rsidRPr="00EC6BB9">
              <w:rPr>
                <w:rFonts w:ascii="楷体" w:eastAsia="楷体" w:hAnsi="楷体" w:hint="eastAsia"/>
                <w:sz w:val="18"/>
                <w:szCs w:val="18"/>
              </w:rPr>
              <w:t>不以潜在风险为理由拖延或拒绝履行协议文本项下交易的各项义务。</w:t>
            </w:r>
          </w:p>
          <w:p w14:paraId="3112EEAB" w14:textId="77777777" w:rsidR="0069142B" w:rsidRPr="00EC6BB9" w:rsidRDefault="0069142B" w:rsidP="008521BF">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3E5AE82B"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40898F7D" w14:textId="77777777" w:rsidR="0069142B" w:rsidRPr="00EC6BB9" w:rsidRDefault="0069142B"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78528E64" w14:textId="77777777" w:rsidR="0069142B" w:rsidRPr="00EC6BB9" w:rsidRDefault="0069142B" w:rsidP="008521BF">
            <w:pPr>
              <w:pStyle w:val="a8"/>
              <w:wordWrap w:val="0"/>
              <w:ind w:left="420" w:firstLine="360"/>
              <w:rPr>
                <w:rFonts w:ascii="黑体" w:eastAsia="黑体" w:hAnsi="黑体"/>
                <w:sz w:val="18"/>
                <w:szCs w:val="18"/>
              </w:rPr>
            </w:pPr>
          </w:p>
        </w:tc>
      </w:tr>
    </w:tbl>
    <w:p w14:paraId="7786B228" w14:textId="77777777" w:rsidR="0069142B" w:rsidRDefault="0069142B" w:rsidP="0069142B">
      <w:pPr>
        <w:rPr>
          <w:rFonts w:ascii="楷体" w:eastAsia="楷体" w:hAnsi="楷体"/>
          <w:sz w:val="18"/>
          <w:szCs w:val="18"/>
        </w:rPr>
      </w:pPr>
    </w:p>
    <w:p w14:paraId="056D957B" w14:textId="77777777" w:rsidR="0069142B" w:rsidRDefault="0069142B" w:rsidP="0069142B">
      <w:pPr>
        <w:rPr>
          <w:rFonts w:ascii="楷体" w:eastAsia="楷体" w:hAnsi="楷体"/>
          <w:sz w:val="18"/>
          <w:szCs w:val="18"/>
        </w:rPr>
      </w:pPr>
    </w:p>
    <w:p w14:paraId="580C475B" w14:textId="77777777" w:rsidR="0069142B" w:rsidRDefault="0069142B" w:rsidP="0069142B">
      <w:pPr>
        <w:rPr>
          <w:rFonts w:ascii="楷体" w:eastAsia="楷体" w:hAnsi="楷体"/>
          <w:sz w:val="18"/>
          <w:szCs w:val="18"/>
        </w:rPr>
      </w:pPr>
    </w:p>
    <w:p w14:paraId="6A1A4652" w14:textId="77777777" w:rsidR="0069142B" w:rsidRDefault="0069142B" w:rsidP="0069142B">
      <w:pPr>
        <w:rPr>
          <w:rFonts w:ascii="楷体" w:eastAsia="楷体" w:hAnsi="楷体"/>
          <w:sz w:val="18"/>
          <w:szCs w:val="18"/>
        </w:rPr>
      </w:pPr>
    </w:p>
    <w:p w14:paraId="0D08B6F2" w14:textId="77777777" w:rsidR="0069142B" w:rsidRPr="00FC5CBD" w:rsidRDefault="0069142B" w:rsidP="0069142B">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6795C4F3" w14:textId="77777777" w:rsidR="00C95826" w:rsidRDefault="00C95826" w:rsidP="00C95826">
      <w:pPr>
        <w:jc w:val="right"/>
        <w:rPr>
          <w:rFonts w:ascii="楷体" w:eastAsia="楷体" w:hAnsi="楷体"/>
          <w:szCs w:val="21"/>
        </w:rPr>
      </w:pPr>
      <w:r>
        <w:rPr>
          <w:rFonts w:ascii="楷体" w:eastAsia="楷体" w:hAnsi="楷体" w:hint="eastAsia"/>
          <w:szCs w:val="21"/>
        </w:rPr>
        <w:t>（盖章）</w:t>
      </w:r>
    </w:p>
    <w:p w14:paraId="41213751" w14:textId="674C216B" w:rsidR="00897870" w:rsidRPr="00FC5CBD" w:rsidRDefault="00007700" w:rsidP="00897870">
      <w:pPr>
        <w:jc w:val="right"/>
        <w:rPr>
          <w:rFonts w:ascii="楷体" w:eastAsia="楷体" w:hAnsi="楷体"/>
          <w:szCs w:val="21"/>
        </w:rPr>
      </w:pPr>
      <w:r>
        <w:rPr>
          <w:rFonts w:ascii="楷体" w:eastAsia="楷体" w:hAnsi="楷体"/>
          <w:szCs w:val="21"/>
        </w:rPr>
        <w:t>{{</w:t>
      </w:r>
      <w:proofErr w:type="spellStart"/>
      <w:r w:rsidR="00A4580C" w:rsidRPr="00A4580C">
        <w:rPr>
          <w:rFonts w:ascii="楷体" w:eastAsia="楷体" w:hAnsi="楷体"/>
          <w:szCs w:val="21"/>
        </w:rPr>
        <w:t>tradeDateEndStr</w:t>
      </w:r>
      <w:proofErr w:type="spellEnd"/>
      <w:r>
        <w:rPr>
          <w:rFonts w:ascii="楷体" w:eastAsia="楷体" w:hAnsi="楷体"/>
          <w:szCs w:val="21"/>
        </w:rPr>
        <w:t>}}</w:t>
      </w:r>
    </w:p>
    <w:p w14:paraId="362BBED6" w14:textId="28CC4FE1" w:rsidR="0069142B" w:rsidRPr="00FC5CBD" w:rsidRDefault="0069142B" w:rsidP="0069142B">
      <w:pPr>
        <w:jc w:val="right"/>
        <w:rPr>
          <w:rFonts w:ascii="楷体" w:eastAsia="楷体" w:hAnsi="楷体"/>
          <w:szCs w:val="21"/>
        </w:rPr>
      </w:pPr>
    </w:p>
    <w:p w14:paraId="5941A271" w14:textId="77777777" w:rsidR="00CE77A5" w:rsidRDefault="00CE77A5"/>
    <w:sectPr w:rsidR="00CE77A5" w:rsidSect="00F42D20">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8508B" w14:textId="77777777" w:rsidR="00F42D20" w:rsidRDefault="00F42D20" w:rsidP="0069142B">
      <w:r>
        <w:separator/>
      </w:r>
    </w:p>
  </w:endnote>
  <w:endnote w:type="continuationSeparator" w:id="0">
    <w:p w14:paraId="7EA499B1" w14:textId="77777777" w:rsidR="00F42D20" w:rsidRDefault="00F42D20" w:rsidP="0069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5B92F" w14:textId="77777777" w:rsidR="00D145D7" w:rsidRDefault="00D145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BDBB1" w14:textId="77777777" w:rsidR="00D145D7" w:rsidRDefault="00D145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800BE" w14:textId="77777777" w:rsidR="00D145D7" w:rsidRDefault="00D145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6DA70" w14:textId="77777777" w:rsidR="00F42D20" w:rsidRDefault="00F42D20" w:rsidP="0069142B">
      <w:r>
        <w:separator/>
      </w:r>
    </w:p>
  </w:footnote>
  <w:footnote w:type="continuationSeparator" w:id="0">
    <w:p w14:paraId="1B80427E" w14:textId="77777777" w:rsidR="00F42D20" w:rsidRDefault="00F42D20" w:rsidP="00691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BB49" w14:textId="51182C57" w:rsidR="00D145D7" w:rsidRDefault="00D145D7">
    <w:pPr>
      <w:pStyle w:val="a3"/>
    </w:pPr>
    <w:r>
      <w:rPr>
        <w:noProof/>
      </w:rPr>
      <w:pict w14:anchorId="5176AE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05938"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54A9C" w14:textId="2A7D350D" w:rsidR="00D145D7" w:rsidRDefault="00D145D7">
    <w:pPr>
      <w:pStyle w:val="a3"/>
    </w:pPr>
    <w:r>
      <w:rPr>
        <w:noProof/>
      </w:rPr>
      <w:pict w14:anchorId="5B5016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05939"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5B6C2" w14:textId="24DBC7C4" w:rsidR="00D145D7" w:rsidRDefault="00D145D7">
    <w:pPr>
      <w:pStyle w:val="a3"/>
    </w:pPr>
    <w:r>
      <w:rPr>
        <w:noProof/>
      </w:rPr>
      <w:pict w14:anchorId="443AF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05937"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257625"/>
    <w:multiLevelType w:val="hybridMultilevel"/>
    <w:tmpl w:val="997CCFF8"/>
    <w:lvl w:ilvl="0" w:tplc="004A715E">
      <w:start w:val="8"/>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1649818">
    <w:abstractNumId w:val="7"/>
  </w:num>
  <w:num w:numId="2" w16cid:durableId="236281613">
    <w:abstractNumId w:val="8"/>
  </w:num>
  <w:num w:numId="3" w16cid:durableId="180436682">
    <w:abstractNumId w:val="6"/>
  </w:num>
  <w:num w:numId="4" w16cid:durableId="1079787046">
    <w:abstractNumId w:val="4"/>
  </w:num>
  <w:num w:numId="5" w16cid:durableId="1312440580">
    <w:abstractNumId w:val="0"/>
  </w:num>
  <w:num w:numId="6" w16cid:durableId="1806118780">
    <w:abstractNumId w:val="2"/>
  </w:num>
  <w:num w:numId="7" w16cid:durableId="1176964739">
    <w:abstractNumId w:val="1"/>
  </w:num>
  <w:num w:numId="8" w16cid:durableId="1364283371">
    <w:abstractNumId w:val="5"/>
  </w:num>
  <w:num w:numId="9" w16cid:durableId="759063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B2"/>
    <w:rsid w:val="00007700"/>
    <w:rsid w:val="000149B2"/>
    <w:rsid w:val="00061FE3"/>
    <w:rsid w:val="0019381C"/>
    <w:rsid w:val="001A5815"/>
    <w:rsid w:val="00200380"/>
    <w:rsid w:val="002A4DA8"/>
    <w:rsid w:val="0069142B"/>
    <w:rsid w:val="006D169C"/>
    <w:rsid w:val="006E1EE0"/>
    <w:rsid w:val="00747305"/>
    <w:rsid w:val="00897870"/>
    <w:rsid w:val="0096512D"/>
    <w:rsid w:val="00A4580C"/>
    <w:rsid w:val="00C95826"/>
    <w:rsid w:val="00CE77A5"/>
    <w:rsid w:val="00D145D7"/>
    <w:rsid w:val="00F42D20"/>
    <w:rsid w:val="00FD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50499"/>
  <w15:chartTrackingRefBased/>
  <w15:docId w15:val="{5E899B24-68AF-4108-94FF-FC0B9E3C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4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14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142B"/>
    <w:rPr>
      <w:sz w:val="18"/>
      <w:szCs w:val="18"/>
    </w:rPr>
  </w:style>
  <w:style w:type="paragraph" w:styleId="a5">
    <w:name w:val="footer"/>
    <w:basedOn w:val="a"/>
    <w:link w:val="a6"/>
    <w:uiPriority w:val="99"/>
    <w:unhideWhenUsed/>
    <w:rsid w:val="0069142B"/>
    <w:pPr>
      <w:tabs>
        <w:tab w:val="center" w:pos="4153"/>
        <w:tab w:val="right" w:pos="8306"/>
      </w:tabs>
      <w:snapToGrid w:val="0"/>
      <w:jc w:val="left"/>
    </w:pPr>
    <w:rPr>
      <w:sz w:val="18"/>
      <w:szCs w:val="18"/>
    </w:rPr>
  </w:style>
  <w:style w:type="character" w:customStyle="1" w:styleId="a6">
    <w:name w:val="页脚 字符"/>
    <w:basedOn w:val="a0"/>
    <w:link w:val="a5"/>
    <w:uiPriority w:val="99"/>
    <w:rsid w:val="0069142B"/>
    <w:rPr>
      <w:sz w:val="18"/>
      <w:szCs w:val="18"/>
    </w:rPr>
  </w:style>
  <w:style w:type="table" w:styleId="a7">
    <w:name w:val="Table Grid"/>
    <w:basedOn w:val="a1"/>
    <w:uiPriority w:val="39"/>
    <w:qFormat/>
    <w:rsid w:val="0069142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142B"/>
    <w:pPr>
      <w:ind w:firstLineChars="200" w:firstLine="420"/>
    </w:pPr>
    <w:rPr>
      <w:lang w:val="en-GB"/>
    </w:rPr>
  </w:style>
  <w:style w:type="table" w:styleId="2-3">
    <w:name w:val="Grid Table 2 Accent 3"/>
    <w:basedOn w:val="a1"/>
    <w:uiPriority w:val="47"/>
    <w:rsid w:val="0069142B"/>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14</cp:revision>
  <dcterms:created xsi:type="dcterms:W3CDTF">2024-02-05T02:57:00Z</dcterms:created>
  <dcterms:modified xsi:type="dcterms:W3CDTF">2024-04-24T08:20:00Z</dcterms:modified>
</cp:coreProperties>
</file>