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楷体" w:hAnsi="楷体" w:eastAsia="楷体"/>
          <w:color w:val="8B4A3A"/>
          <w:sz w:val="24"/>
        </w:rPr>
        <w:t>演讲稿 · 第九讲</w:t>
      </w:r>
    </w:p>
    <w:p>
      <w:pPr>
        <w:jc w:val="center"/>
      </w:pPr>
      <w:r>
        <w:rPr>
          <w:rFonts w:ascii="宋体" w:hAnsi="宋体" w:eastAsia="宋体"/>
          <w:b/>
          <w:color w:val="2C3E50"/>
          <w:sz w:val="40"/>
        </w:rPr>
        <w:t>不会读文献=不会写论文</w:t>
        <w:br/>
        <w:t>—— 先学会"挑"文献</w:t>
      </w:r>
    </w:p>
    <w:p>
      <w:pPr>
        <w:jc w:val="center"/>
      </w:pPr>
      <w:r>
        <w:rPr>
          <w:rFonts w:ascii="楷体" w:hAnsi="楷体" w:eastAsia="楷体"/>
          <w:color w:val="6E6860"/>
          <w:sz w:val="19"/>
        </w:rPr>
        <w:t>配套PPT：不会读文献先学会挑文献.ppt　|　共16页　|　预计时长：18–22分钟</w:t>
      </w:r>
    </w:p>
    <w:p>
      <w:pPr>
        <w:spacing w:before="160"/>
      </w:pPr>
      <w:r>
        <w:rPr>
          <w:rFonts w:ascii="楷体" w:hAnsi="楷体" w:eastAsia="楷体"/>
          <w:color w:val="6E6860"/>
          <w:sz w:val="20"/>
        </w:rPr>
        <w:t>使用说明：本稿以PPT页码为主线逐页展开，每页标注【第X页 · 页面主题】，正文为可直接口播的讲稿，灰色斜体为节奏/互动提示。讲稿在PPT要点之上做了原理拆解、数据解读与实操延展，并非照念PPT。</w:t>
      </w:r>
    </w:p>
    <w:p>
      <w:pPr>
        <w:spacing w:before="40" w:after="40"/>
        <w:jc w:val="center"/>
      </w:pPr>
      <w:r>
        <w:rPr>
          <w:color w:val="6E6860"/>
          <w:sz w:val="18"/>
        </w:rPr>
        <w:t>— — — — — — — — — —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【第01页 · 封面】不会读文献=不会写论文，先学会"挑"文献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开讲语：点题 + 抛出核心矛盾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同学们好。第八讲我们讲完了选题，从这一讲开始，我们进入论文写作的另一个大模块——文献。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但我今天不讲怎么读文献，而是讲一个更靠前、也更被忽视的环节：怎么"挑"文献。为什么？因为很多人的问题根本不是"不会读"，而是"读错了对象"。你花了大量时间读的，可能从一开始就不该读。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〔节奏提示〕封面点出"200篇→精读20篇"，让数字先入为主，再切入正文。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这一讲的目标，是让你在打开任何一篇文献之前，先学会过一道筛子——把无关的、低质的、陈旧的文献挡在门外，把有限的精力留给真正值得读的那 20 篇。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【第02页 · 引言】文献之困：你卡在哪一步？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用困境引发共鸣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先做一个小测试。下面四种情况，看看你中了几个。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，检索结果几百篇，全部下载回来，最后真正读完的不到十分之一。第二，花一周读完一批，发现大半跟选题无关，时间白费。第三，精读完一篇才发现，期刊档次低、观点陈旧，没有参考价值。第四，该读的经典没读，不该读的边角料读了一堆，主次颠倒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〔互动提示〕停顿，示意弹幕区打出中了几条。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这四种困境，表面看各不相同，但根子是同一个：你只知道"读"，不知道"挑"。你把精力平均分给了所有文献，而真正值得读的，可能只占十分之一。这一讲，就是帮你把那十分之一筛出来。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【第03页 · 本论】先挑后读：筛选是阅读的前提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核心命题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这一页是本讲的核心，请大家重点听。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左边是认识误区——很多人觉得文献是读得越多越好，下载量越大、阅读量越大，论文就越有底气。右边是本质正解——文献要"先筛后读、精挑细读"，读什么比读多少更重要，筛选是阅读的前置工序。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两者的差别在哪？如果你认为读得越多越好，你的策略就是"全都要"——什么都下、什么都读，最后信息过载、什么都记不住；如果你认为筛选是前提，你的策略就是"做减法"——先淘汰无关的，再分级相关的，把精力集中在最有价值的文献上。前者是体力活，后者是策略活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〔重点强调〕把底部"核心命题"逐字念一遍。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记住这句话：不会挑文献，等于不会读文献——筛选是阅读的前提，而非可有可无的步骤。这句话是本讲的纲。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【第04页 · 本论】文献环节常见痛点分布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用数据证明"筛选缺失"是首要问题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空说无凭，我们看数据。这张柱图是我根据教学观察整理的文献环节常见痛点分布。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排在第一位的，是"不知挑哪些"，占 35%——也就是筛选能力的缺失。这恰恰是本讲要解决的核心。第二位是"读完即忘"，占 26%。很多人以为是记忆力问题，其实是没筛、乱读导致信息过载，大脑根本来不及处理。这两项加起来超过六成，根因都指向同一个：缺乏筛选。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〔数据强调〕指出"不知挑哪些"那一根最高的柱子。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结论很清楚：与其追求阅读量，不如先建立一套筛选标准。这一讲剩下的内容，就是帮你建立这套标准。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【第05页 · 本论】筛选的四个维度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给出可操作的评价框架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那么，判断一篇文献值不值得读，到底看什么？我归纳成四个维度：相关性、权威性、时效性、类型。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个是相关性——这篇文献和你的研究问题是否直接相关。这是第一道闸门，不相关直接淘汰，其余三项免谈。第二个是权威性——来源是否可靠，期刊层次、被引量、作者地位。第三个是时效性——发表时间是否契合你的需要。第四个是类型——它是综述、实证还是理论，不同类型承担不同功能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这四个维度不是并列平均的。相关性是前提，是"一票否决"项；其余三个是在相关的基础上，判断文献的质量与适配度。接下来四页，我们一个维度一个维度地拆开讲。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【第06页 · 维度一】相关性——第一道闸门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相关性筛选可淘汰七成无关文献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先讲相关性，这是最重要、也最该先做的一关。判断相关性，用三步快速判断法：一看标题，关键词是否与你的研究问题匹配；二看摘要，研究问题、方法、结论是否与你相关；三看结论，能否为你的论证提供支撑或反例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这三步不用读全文，读完标题和摘要基本就能定去留。右边这张饼图很能说明问题——在我的估算里，检索回来的文献，高相关、值得精读的只有 15%，中相关选读的 25%，低相关备查的 20%，而无关、应该直接淘汰的，占到 40%。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〔实操提示〕强调：相关性判断不需要愧疚——淘汰不相关文献不是浪费，是效率。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也就是说，光这一道闸门，就能替你挡掉四成文献。读完标题摘要就能淘汰的，千万别留到通读全文时才发现不对——那才是真浪费。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【第07页 · 维度二】权威性——判断来源是否可靠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三条线索 + 期刊层次参照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过了相关性这一关，接下来判断权威性。靠三条线索：期刊层次、被引量、作者地位。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期刊层次——CSSCI、北大核心优先，普通期刊谨慎使用，非学术来源慎用。被引量——高被引说明学界认可，但要警惕"高引低质"的自引泡沫，不能只看数字。作者地位——在该领域有系列成果的活跃学者，其文献更值得信赖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右边柱图是不同期刊层次的参考价值示意：顶刊权威期刊 95，CSSCI 核心 80，普通期刊 45，非学术来源只有 15。这里要特别提醒一点：权威性是"加权"而非"一票否决"——普通期刊也可以作参考，但不宜作为主要依据。你的论文里，核心引用应该来自高权威来源。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【第08页 · 维度三】时效性——经典与前沿如何配比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新旧文献各有所长，关键是配比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第三个维度是时效性。很多同学有个误区：要么只追最新的，要么只读老的，其实都不对。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经典文献，也就是 10 年以上高被引的奠基性文献，它的作用是奠定理论基础、提供学科脉络；最新文献，近 3–5 年的，它的作用是反映研究前沿、帮你发现研究空白。两者缺一不可。右边饼图给出了一个建议的时间配比：近 5 年文献占 50%，5–10 年占 30%，10 年以上经典占 20%。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〔干货〕配比原则可以一句话总结：以新为主、以旧为基。新文献占半数保证前沿性，经典文献打底保证理论深度。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怎么判断一篇老文献是不是"经典"？看它的被引量是否持续增长、是否被新文献反复引用。如果一篇 15 年前的文献到现在还在被大量引用，它就是该领域的经典，必须读。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【第09页 · 维度四】文献类型——综述、实证、理论各司其职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不同类型文献在论文中承担不同功能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第四个维度是文献类型。同样是好文献，类型不同，作用也不同。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综述类文献，作用是快速建立领域地图，了解研究脉络与争议——它应该先读，帮你定方向。实证类文献，作用是提供方法范例与数据参照，支撑你的研究设计——它应该中读，帮你学方法。理论类文献，作用是提供分析框架与概念工具，提升论证深度——它应该后读，帮你强论证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这三类文献，建议的配比是"综述打底、实证为体、理论为骨"。光读综述会浮于表面，光读实证会缺乏理论高度，光读理论会脱离实际。三类搭配，才能形成完整的文献体系。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【第10页 · 方法】筛选漏斗——四级递减，层层过滤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本讲的核心方法工具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讲完四个维度，我们把它做成一个可操作的工具——筛选漏斗。把筛选分成四级，层层递减。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第一级，检索结果，可能有 200 篇以上。第二级，粗筛——只读标题和摘要，按相关性筛，剩约 60 篇。第三级，精筛——通读全文，按权威性和时效性筛，剩约 30 篇。第四级，精读——逐篇研读，做笔记、建联系，最后精读约 20 篇。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〔方法强调〕用手指从漏斗上口划到下口，体现"层层收窄"。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这个漏斗的精髓在于一句话：每层只筛掉、不回头读。越往后越少越精。最常见的错误就是"全都要"——筛掉的又舍不得扔，结果又把无关的捡回来读。记住，筛掉就是筛掉，不回头。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【第11页 · 方法】三级分级法——筛完之后区别对待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给文献分等级，精力分配倒置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漏斗筛完，精读的文献也别一视同仁，再做一个分级：A、B、C 三级。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A 级是必读的核心文献，要反复研读、做详注、建立引用——这类大概占 15%。B 级是选读的相关文献，通读要点、记观点、备引用——占 25%。C 级是备查的边缘文献，知道它存在就行，用到时再查——占 60%。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关键在精力分配要倒置：A 级文献数量最少，却要占你六成以上的阅读时间。很多人反过来——把时间平均分，或者花在容易读的 C 级上，结果核心文献反而没读透。记住一个原则：少而透，胜过多而浮。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【第12页 · 案例】正反对比——两种方式，两种结果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用对比强化方法论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我们看一个正反对比的案例，感受一下"先筛后读"的差别。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反面做法是"来者不拒"——检索结果全下，逐篇通读。结果是耗时两周，读完一片茫然；动笔时发现有用的不到五篇，而且彼此观点冲突，无法组织。症结就是无筛选、无分级、无重点。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正面做法是"先筛后读"——四维度筛、漏斗过滤、ABC 分级。结果是三天筛完，锁定 20 篇精读；动笔时脉络清晰，A 级文献直接支撑各章论证。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两者一比，启示很明确：文献功夫在"筛"不在"读"。读得少但读得准、读得透，远胜过读得多而乱。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【第13页 · 参照】精读文献数量建议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给不同学历层次一个量化的参考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常有同学问我：到底要精读多少篇文献才够？这张柱图给一个参考。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课程论文大概 8 篇，本科毕业论文 20 篇，硕士毕业论文 40 篇，博士毕业论文 80 篇。请注意，这是"精读"数量，不包括粗筛和备查的文献——那些会多得多。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〔提醒〕强调数量是参考而非硬指标，以"读懂、能用"为准。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这里要特别提醒：数量随学历递增，是因为博士需要建立系统的文献体系。但数量永远不是目的——读懂 20 篇、能用到论文里，胜过翻过 200 篇、什么都记不住。宁少而透，勿多而浮。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【第14页 · 自测】筛选五问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把所有方法浓缩成可执行的自查清单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这一页是本讲的落地工具，建议大家截图保存。筛每一篇文献时，用这五个问题逐一判断：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，相关性——这篇文献的研究问题，与我的问题是否直接相关？第二，权威性——来源期刊层次如何？被引量是否足以佐证其价值？第三，时效性——发表时间是否契合我的需要，是要前沿还是要经典？第四，类型——它是综述、实证还是理论？对我的论文起什么作用？第五，定位——它该进 A 级必读、B 级选读，还是 C 级备查？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〔重点提示〕五问放慢语速逐条念，并提醒截图。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这五个问题，其实就是前面讲的四个维度加上分级定位。五问答完，每篇文献就有明确的去留——这才叫"会挑"。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【第15页 · 展望】挑完之后——从"挑"到"读"的衔接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串联后续文献系列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最后，我们把视角拉远，看看文献这件事的完整链条：挑文献、读文献、写综述、用于论证。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本讲解决的是第一步——"挑"。筛完之后，才是"怎么读"的问题。这部分我们后续会逐一展开：第十讲讲知网高效检索的7个技巧，解决检索环节的扩检与精检；第十二讲讲三遍阅读法，解决精读环节的分层阅读；第十六讲讲文献笔记怎么做才不白读，解决阅读的沉淀；第二十四讲讲文献综述不是文献堆砌，解决从"读"到"综"的转化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也就是说，"挑"只是文献工程的第一道工序，但它决定了后面所有工序的效率。挑得好，后面事半功倍；挑不好，后面事倍功半。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【第16页 · 结语】核心命题重申 + 下期预告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收束 + 引导关注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今天这堂课，我们只讲了一件事，用一句话再总结一遍：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不会挑文献，等于不会读文献——先过筛子，再开卷。把筛选当成阅读的前置工序，你的文献效率能提升至少一倍。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〔收尾节奏〕稍作停顿，切入预告。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下一期，我们接着讲文献的第一个实操环节：知网高效检索的7个技巧。很多人检索文献只会输入一个关键词，然后一页一页翻——其实知网的高级检索、主题词、引文追踪这些功能，能让你的检索效率提升好几倍。这些技巧，我们下期展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如果今天的内容对你有帮助，点个关注，我们一期一期把论文这件事讲透。同学们，下期见。</w:t>
      </w:r>
    </w:p>
    <w:p>
      <w:pPr>
        <w:spacing w:before="40" w:after="40"/>
        <w:jc w:val="center"/>
      </w:pPr>
      <w:r>
        <w:rPr>
          <w:color w:val="6E6860"/>
          <w:sz w:val="18"/>
        </w:rPr>
        <w:t>— — — — — — — — — —</w:t>
      </w:r>
    </w:p>
    <w:p>
      <w:pPr>
        <w:spacing w:before="200" w:after="80"/>
      </w:pPr>
      <w:r>
        <w:rPr>
          <w:rFonts w:ascii="宋体" w:hAnsi="宋体" w:eastAsia="宋体"/>
          <w:b/>
          <w:color w:val="6E6860"/>
          <w:sz w:val="24"/>
        </w:rPr>
        <w:t>附：本讲配套PPT页码索引</w:t>
      </w:r>
    </w:p>
    <w:p>
      <w:r>
        <w:rPr>
          <w:rFonts w:ascii="楷体" w:hAnsi="楷体" w:eastAsia="楷体"/>
          <w:color w:val="6E6860"/>
          <w:sz w:val="19"/>
        </w:rPr>
        <w:t>P01 封面　|　P02 引言·文献之困　|　P03 本论·先挑后读</w:t>
      </w:r>
    </w:p>
    <w:p>
      <w:r>
        <w:rPr>
          <w:rFonts w:ascii="楷体" w:hAnsi="楷体" w:eastAsia="楷体"/>
          <w:color w:val="6E6860"/>
          <w:sz w:val="19"/>
        </w:rPr>
        <w:t>P04 本论·检索痛点分布　|　P05 本论·筛选四维度　|　P06 维度一·相关性</w:t>
      </w:r>
    </w:p>
    <w:p>
      <w:r>
        <w:rPr>
          <w:rFonts w:ascii="楷体" w:hAnsi="楷体" w:eastAsia="楷体"/>
          <w:color w:val="6E6860"/>
          <w:sz w:val="19"/>
        </w:rPr>
        <w:t>P07 维度二·权威性　|　P08 维度三·时效性　|　P09 维度四·文献类型</w:t>
      </w:r>
    </w:p>
    <w:p>
      <w:r>
        <w:rPr>
          <w:rFonts w:ascii="楷体" w:hAnsi="楷体" w:eastAsia="楷体"/>
          <w:color w:val="6E6860"/>
          <w:sz w:val="19"/>
        </w:rPr>
        <w:t>P10 方法·筛选漏斗　|　P11 方法·三级分级法　|　P12 案例·正反对比</w:t>
      </w:r>
    </w:p>
    <w:p>
      <w:r>
        <w:rPr>
          <w:rFonts w:ascii="楷体" w:hAnsi="楷体" w:eastAsia="楷体"/>
          <w:color w:val="6E6860"/>
          <w:sz w:val="19"/>
        </w:rPr>
        <w:t>P13 参照·精读数量建议　|　P14 自测·筛选五问　|　P15 展望·挑完之后　|　P16 结语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