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66AC2">
      <w:pPr>
        <w:spacing w:before="62" w:beforeLines="20" w:after="62" w:afterLines="20" w:line="312" w:lineRule="auto"/>
        <w:jc w:val="center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论文格式要求</w:t>
      </w:r>
    </w:p>
    <w:p w14:paraId="00A97DA1">
      <w:pPr>
        <w:spacing w:before="93" w:beforeLines="30" w:after="93" w:afterLines="30" w:line="312" w:lineRule="auto"/>
        <w:ind w:firstLine="482" w:firstLineChars="200"/>
        <w:outlineLvl w:val="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一、封面</w:t>
      </w:r>
    </w:p>
    <w:p w14:paraId="364F2EEB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本科生毕业设计（论文）的封面采用全校统一格式。</w:t>
      </w:r>
    </w:p>
    <w:p w14:paraId="183C321A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中文题目：三号黑体；</w:t>
      </w:r>
    </w:p>
    <w:p w14:paraId="4C05C481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学生姓名、学院、专业、年级、指导教师等用四号宋体，居中；数字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和英文</w:t>
      </w:r>
      <w:r>
        <w:rPr>
          <w:rFonts w:ascii="Times New Roman" w:hAnsi="Times New Roman" w:eastAsia="宋体" w:cs="Times New Roman"/>
          <w:sz w:val="24"/>
        </w:rPr>
        <w:t>部分用Times New Roman四号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全文所有数字和英文都用</w:t>
      </w:r>
      <w:r>
        <w:rPr>
          <w:rFonts w:ascii="Times New Roman" w:hAnsi="Times New Roman" w:eastAsia="宋体" w:cs="Times New Roman"/>
          <w:sz w:val="24"/>
        </w:rPr>
        <w:t>Times New Roman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字号根据对应模块字号要求确定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）</w:t>
      </w:r>
      <w:r>
        <w:rPr>
          <w:rFonts w:ascii="Times New Roman" w:hAnsi="Times New Roman" w:eastAsia="宋体" w:cs="Times New Roman"/>
          <w:sz w:val="24"/>
        </w:rPr>
        <w:t>。</w:t>
      </w:r>
    </w:p>
    <w:p w14:paraId="57FDF0D3">
      <w:pPr>
        <w:spacing w:before="93" w:beforeLines="30" w:after="93" w:afterLines="30" w:line="312" w:lineRule="auto"/>
        <w:ind w:firstLine="482" w:firstLineChars="200"/>
        <w:outlineLvl w:val="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二、承诺书</w:t>
      </w:r>
    </w:p>
    <w:p w14:paraId="2C4C2440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本科生毕业设计（论文）诚信承诺书采用全校统一格式。</w:t>
      </w:r>
    </w:p>
    <w:p w14:paraId="0BFF0166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承诺书标题为宋体三号字，表格内中文字体用宋体、小四号，英文字体及数字采用Times New Roman小四号，行距1.5倍。</w:t>
      </w:r>
    </w:p>
    <w:p w14:paraId="0432514F">
      <w:pPr>
        <w:spacing w:before="93" w:beforeLines="30" w:after="93" w:afterLines="30" w:line="312" w:lineRule="auto"/>
        <w:ind w:firstLine="482" w:firstLineChars="200"/>
        <w:outlineLvl w:val="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三、中英文摘要</w:t>
      </w:r>
    </w:p>
    <w:p w14:paraId="552014B4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（一）中文摘要</w:t>
      </w:r>
    </w:p>
    <w:p w14:paraId="196C68BC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论文第一页为中文摘要，</w:t>
      </w:r>
      <w:r>
        <w:rPr>
          <w:rFonts w:ascii="Times New Roman" w:hAnsi="Times New Roman" w:eastAsia="宋体" w:cs="Times New Roman"/>
          <w:color w:val="FF0000"/>
          <w:sz w:val="24"/>
        </w:rPr>
        <w:t>约500～800字左右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</w:t>
      </w:r>
      <w:r>
        <w:rPr>
          <w:rFonts w:ascii="Times New Roman" w:hAnsi="Times New Roman" w:eastAsia="宋体" w:cs="Times New Roman"/>
          <w:color w:val="FF0000"/>
          <w:sz w:val="24"/>
        </w:rPr>
        <w:t>限一页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）</w:t>
      </w:r>
      <w:r>
        <w:rPr>
          <w:rFonts w:ascii="Times New Roman" w:hAnsi="Times New Roman" w:eastAsia="宋体" w:cs="Times New Roman"/>
          <w:sz w:val="24"/>
        </w:rPr>
        <w:t>。包括论文题目、摘要内容和关键词。摘要内容应包括工作目的、研究方法、成果和结论等。语言力求精炼，一般不宜使用公式、图表，不标注引用文献。为了便于文献检索，应在本页下方另起一行注明3～5个论文的关键词，按词条的外延层次从大到小排列。</w:t>
      </w:r>
    </w:p>
    <w:p w14:paraId="4E717CBA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具体格式要求如下：</w:t>
      </w:r>
    </w:p>
    <w:p w14:paraId="2F3C5E2F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论文题目（居中、小2黑体，行距30磅）；</w:t>
      </w:r>
    </w:p>
    <w:p w14:paraId="16243B81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中文摘要（居中，4号黑体，行距24磅）；</w:t>
      </w:r>
    </w:p>
    <w:p w14:paraId="05038E80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正文：500～800字（小4号宋体字，行距20磅，限一页）；</w:t>
      </w:r>
    </w:p>
    <w:p w14:paraId="27DF7C69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关键词：3～5个，关键词中间用</w:t>
      </w:r>
      <w:r>
        <w:rPr>
          <w:rFonts w:hint="eastAsia" w:ascii="Times New Roman" w:hAnsi="Times New Roman" w:eastAsia="宋体" w:cs="Times New Roman"/>
          <w:sz w:val="24"/>
        </w:rPr>
        <w:t>“</w:t>
      </w:r>
      <w:r>
        <w:rPr>
          <w:rFonts w:ascii="Times New Roman" w:hAnsi="Times New Roman" w:eastAsia="宋体" w:cs="Times New Roman"/>
          <w:sz w:val="24"/>
        </w:rPr>
        <w:t>，</w:t>
      </w:r>
      <w:r>
        <w:rPr>
          <w:rFonts w:hint="eastAsia" w:ascii="Times New Roman" w:hAnsi="Times New Roman" w:eastAsia="宋体" w:cs="Times New Roman"/>
          <w:sz w:val="24"/>
        </w:rPr>
        <w:t>”</w:t>
      </w:r>
      <w:r>
        <w:rPr>
          <w:rFonts w:ascii="Times New Roman" w:hAnsi="Times New Roman" w:eastAsia="宋体" w:cs="Times New Roman"/>
          <w:sz w:val="24"/>
        </w:rPr>
        <w:t>号分开，（小4号黑体，行距16磅）。</w:t>
      </w:r>
    </w:p>
    <w:p w14:paraId="520C5AC2">
      <w:pPr>
        <w:spacing w:line="312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（二）英文摘要</w:t>
      </w:r>
    </w:p>
    <w:p w14:paraId="0F0F587D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中文摘要后为英文摘要，</w:t>
      </w:r>
      <w:r>
        <w:rPr>
          <w:rFonts w:ascii="Times New Roman" w:hAnsi="Times New Roman" w:eastAsia="宋体" w:cs="Times New Roman"/>
          <w:color w:val="FF0000"/>
          <w:sz w:val="24"/>
        </w:rPr>
        <w:t>以400个左右实词为宜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</w:t>
      </w:r>
      <w:r>
        <w:rPr>
          <w:rFonts w:ascii="Times New Roman" w:hAnsi="Times New Roman" w:eastAsia="宋体" w:cs="Times New Roman"/>
          <w:color w:val="FF0000"/>
          <w:sz w:val="24"/>
        </w:rPr>
        <w:t>限一页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）</w:t>
      </w:r>
      <w:r>
        <w:rPr>
          <w:rFonts w:ascii="Times New Roman" w:hAnsi="Times New Roman" w:eastAsia="宋体" w:cs="Times New Roman"/>
          <w:sz w:val="24"/>
        </w:rPr>
        <w:t>，应包括论文题目、摘要内容和关键词，内容应与中文摘要一致。</w:t>
      </w:r>
    </w:p>
    <w:p w14:paraId="51293A77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具体格式要求如下：</w:t>
      </w:r>
    </w:p>
    <w:p w14:paraId="3A0E7DB6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ENGLISH TITLE（小3号Arial Black字体，行距24磅）；</w:t>
      </w:r>
    </w:p>
    <w:p w14:paraId="4D63C955">
      <w:pPr>
        <w:spacing w:line="312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eastAsia="宋体" w:cs="Times New Roman"/>
          <w:color w:val="FF0000"/>
          <w:sz w:val="24"/>
        </w:rPr>
        <w:t>Abstract （4号Arial Black字体，行距24磅）；</w:t>
      </w:r>
    </w:p>
    <w:p w14:paraId="69D807DE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Content （与中文摘要同），（小4号Times New Roman 字体，行距16磅）；</w:t>
      </w:r>
    </w:p>
    <w:p w14:paraId="08D45A5D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Key words</w:t>
      </w:r>
      <w:r>
        <w:rPr>
          <w:rFonts w:hint="eastAsia" w:ascii="Times New Roman" w:hAnsi="Times New Roman" w:eastAsia="宋体" w:cs="Times New Roman"/>
          <w:sz w:val="24"/>
        </w:rPr>
        <w:t>：</w:t>
      </w:r>
      <w:r>
        <w:rPr>
          <w:rFonts w:ascii="Times New Roman" w:hAnsi="Times New Roman" w:eastAsia="宋体" w:cs="Times New Roman"/>
          <w:sz w:val="24"/>
        </w:rPr>
        <w:t>首行无缩进，3～5个（小4号Arial Black字体，行距16磅）。</w:t>
      </w:r>
    </w:p>
    <w:p w14:paraId="619E76D3">
      <w:pPr>
        <w:spacing w:before="93" w:beforeLines="30" w:after="93" w:afterLines="30" w:line="312" w:lineRule="auto"/>
        <w:ind w:firstLine="482" w:firstLineChars="200"/>
        <w:outlineLvl w:val="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四、目录</w:t>
      </w:r>
    </w:p>
    <w:p w14:paraId="06A705BB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目录应独立成页，包括论文中全部章、节的标题及页码。目录要求标题层次清晰，应与正文中的标题一致，附录也应依次列入目录。</w:t>
      </w:r>
    </w:p>
    <w:p w14:paraId="1081004E">
      <w:pPr>
        <w:spacing w:before="93" w:beforeLines="30" w:after="93" w:afterLines="30" w:line="312" w:lineRule="auto"/>
        <w:ind w:firstLine="482" w:firstLineChars="200"/>
        <w:outlineLvl w:val="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五、正文</w:t>
      </w:r>
    </w:p>
    <w:p w14:paraId="42B28A6C">
      <w:pPr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1.绪论</w:t>
      </w:r>
    </w:p>
    <w:p w14:paraId="7965595A">
      <w:pPr>
        <w:spacing w:line="312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绪论一般作为第一章。</w:t>
      </w:r>
    </w:p>
    <w:p w14:paraId="1A08D08A">
      <w:pPr>
        <w:spacing w:line="312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2.标题要求</w:t>
      </w:r>
    </w:p>
    <w:p w14:paraId="57EFBD42">
      <w:pPr>
        <w:spacing w:line="312" w:lineRule="auto"/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</w:rPr>
        <w:t>一级标题：黑体小2号，居中对齐，段前30磅，段后18磅，行距固定值20磅。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设置目录级别为1级目录。</w:t>
      </w:r>
    </w:p>
    <w:p w14:paraId="1D063F79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二级标题：黑体3号，缩进2字符，段前18磅，段后18磅，行距固定值20磅。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设置目录级别为2级目录。</w:t>
      </w:r>
    </w:p>
    <w:p w14:paraId="2E31DDC6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三级标题：黑体小3号，缩进2字符，段前15磅，段后15磅，行距固定值20磅。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设置目录级别为3级目录。</w:t>
      </w:r>
    </w:p>
    <w:p w14:paraId="441FCF89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四级标题：黑体小4号，缩进2字符，段前6磅，段后6磅，行距固定值20磅。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设置目录级别为4级目录。</w:t>
      </w:r>
    </w:p>
    <w:p w14:paraId="33A41963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论文分章节撰写，层次要清楚，标题要重点突出，简明扼要。相同的层次应采用统一的表示体例，正文中各级标题下的内容应同各自的标题对应，不应有与标题无关的内容。</w:t>
      </w:r>
    </w:p>
    <w:p w14:paraId="4E9F469D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章节编号方法应采用分级数字编号方法，但分级数字的编号一般不超过四级，两级之间用下角圆点隔开，每一级的末尾不加标点。</w:t>
      </w:r>
    </w:p>
    <w:p w14:paraId="37F1E50C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各层标题均单独占行书写。第一级标题居中书写；第二级标题序数顶格书写，后空一格接写标题，末尾不加标点；第三级和第四级标题均空两格书写序数，后空一格书写标题。正文中对总项包括的分项采用（1）、（2）、（3）</w:t>
      </w:r>
      <w:r>
        <w:rPr>
          <w:rFonts w:ascii="宋体" w:hAnsi="宋体" w:eastAsia="宋体" w:cs="宋体"/>
          <w:sz w:val="24"/>
        </w:rPr>
        <w:t>…</w:t>
      </w:r>
      <w:r>
        <w:rPr>
          <w:rFonts w:ascii="Times New Roman" w:hAnsi="Times New Roman" w:eastAsia="宋体" w:cs="Times New Roman"/>
          <w:sz w:val="24"/>
        </w:rPr>
        <w:t>单独序号，对分项中的小项采用</w:t>
      </w:r>
      <w:r>
        <w:rPr>
          <w:rFonts w:hint="eastAsia" w:ascii="宋体" w:hAnsi="宋体" w:eastAsia="宋体" w:cs="宋体"/>
          <w:sz w:val="24"/>
        </w:rPr>
        <w:t>①</w:t>
      </w:r>
      <w:r>
        <w:rPr>
          <w:rFonts w:ascii="Times New Roman" w:hAnsi="Times New Roman" w:eastAsia="宋体" w:cs="Times New Roman"/>
          <w:sz w:val="24"/>
        </w:rPr>
        <w:t>、</w:t>
      </w:r>
      <w:r>
        <w:rPr>
          <w:rFonts w:hint="eastAsia" w:ascii="宋体" w:hAnsi="宋体" w:eastAsia="宋体" w:cs="宋体"/>
          <w:sz w:val="24"/>
        </w:rPr>
        <w:t>②</w:t>
      </w:r>
      <w:r>
        <w:rPr>
          <w:rFonts w:ascii="Times New Roman" w:hAnsi="Times New Roman" w:eastAsia="宋体" w:cs="Times New Roman"/>
          <w:sz w:val="24"/>
        </w:rPr>
        <w:t>、</w:t>
      </w:r>
      <w:r>
        <w:rPr>
          <w:rFonts w:hint="eastAsia" w:ascii="宋体" w:hAnsi="宋体" w:eastAsia="宋体" w:cs="宋体"/>
          <w:sz w:val="24"/>
        </w:rPr>
        <w:t>③</w:t>
      </w:r>
      <w:r>
        <w:rPr>
          <w:rFonts w:ascii="Times New Roman" w:hAnsi="Times New Roman" w:eastAsia="宋体" w:cs="Times New Roman"/>
          <w:sz w:val="24"/>
        </w:rPr>
        <w:t>…的序号或数字加半括号，括号后不再加其他标点。</w:t>
      </w:r>
    </w:p>
    <w:p w14:paraId="00741AC2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标题字数一般在15个之内。每章应另起一页。</w:t>
      </w:r>
    </w:p>
    <w:p w14:paraId="0D3382F3">
      <w:pPr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</w:rPr>
      </w:pPr>
    </w:p>
    <w:p w14:paraId="67626821">
      <w:pPr>
        <w:spacing w:line="312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3.正文内容</w:t>
      </w:r>
    </w:p>
    <w:p w14:paraId="593D1E8D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宋体小四号，段前段后0磅，首行缩进2字符，行距固定值20磅。</w:t>
      </w:r>
    </w:p>
    <w:p w14:paraId="76BA7312">
      <w:pPr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</w:rPr>
      </w:pPr>
    </w:p>
    <w:p w14:paraId="04DB7B82">
      <w:pPr>
        <w:spacing w:line="312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4.结论</w:t>
      </w:r>
    </w:p>
    <w:p w14:paraId="670D0984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结论单独作为一章排写，但不加章号。结论是对整个论文主要成果的归纳，要突出设计（论文）的创新点，以简练的文字对论文的主要工作进行评价，一般为400～1000字。</w:t>
      </w:r>
    </w:p>
    <w:p w14:paraId="09C56CE9">
      <w:pPr>
        <w:spacing w:line="312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sz w:val="24"/>
        </w:rPr>
      </w:pPr>
    </w:p>
    <w:p w14:paraId="4244EE60">
      <w:pPr>
        <w:spacing w:line="312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5.图表</w:t>
      </w:r>
    </w:p>
    <w:p w14:paraId="25614E1A">
      <w:pPr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（1）图</w:t>
      </w:r>
    </w:p>
    <w:p w14:paraId="178C9030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图应随文给出，先见文后见图；要精选，要具有自明性，切忌与表及文字表述重复；要清楚，但坐标比例不要过分放大，同一图上不同曲线的点要分别用不同形状标出；</w:t>
      </w:r>
    </w:p>
    <w:p w14:paraId="1A6BB3F7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图中的术语、符号、单位等应同文字表述所用一致；</w:t>
      </w:r>
    </w:p>
    <w:p w14:paraId="29973C81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图前正文段后1行，图序及图名置于图的下方。其格式为宋体五号、居中对齐、首行无缩进、段前0行段后1行、行距固定值20磅，图编号后空一格写图名，编号采用阿拉伯数字分章编号；</w:t>
      </w:r>
    </w:p>
    <w:p w14:paraId="02F64EDD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若有资料来源，则图序及图名格式为段前0行段后0行，换行说明资料来源，其格式为宋体小五号、两端对齐、首行缩进3字符、段前0行段后1行，单倍行距1倍；</w:t>
      </w:r>
    </w:p>
    <w:p w14:paraId="63D55842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制图标准：插图应符合技术制图及相应专业制图的规定。</w:t>
      </w:r>
    </w:p>
    <w:p w14:paraId="392B7160">
      <w:pPr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（2）表</w:t>
      </w:r>
    </w:p>
    <w:p w14:paraId="6C8571CE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表格应随文给出，先见文后见表，表中参数应标明量和单位的符号；</w:t>
      </w:r>
    </w:p>
    <w:p w14:paraId="599ED7B3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表格表头文字加粗，左右不加边线，上下线1.5磅，其余默认0.5磅；单元格对齐方式，水平居中+垂直居中，出现多行文字时可采用左端居中。</w:t>
      </w:r>
    </w:p>
    <w:p w14:paraId="4C6A22CC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表序及表名置于表的上方，其格式为宋体五号、居中对齐、段前1行段后0行、无缩进、行距固定值20磅，表格编号后空一格写表格名，编号采用阿拉伯数字分章编号；</w:t>
      </w:r>
    </w:p>
    <w:p w14:paraId="019094CB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若有资料来源，表格后换行说明资料来源，其格式为宋体小五号、两端对齐、首行缩进3字符、段前0行段后1行，单倍行距；</w:t>
      </w:r>
    </w:p>
    <w:p w14:paraId="717580D9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表格后正文段前1行；</w:t>
      </w:r>
    </w:p>
    <w:p w14:paraId="1C9D9DE2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一张表格应为一个整体，表格一页排不下允许下页接写，表序及表名可省略，表头应重复写，并在右上方写</w:t>
      </w:r>
      <w:r>
        <w:rPr>
          <w:rFonts w:hint="eastAsia" w:ascii="Times New Roman" w:hAnsi="Times New Roman" w:eastAsia="宋体" w:cs="Times New Roman"/>
          <w:sz w:val="24"/>
        </w:rPr>
        <w:t>“</w:t>
      </w:r>
      <w:r>
        <w:rPr>
          <w:rFonts w:ascii="Times New Roman" w:hAnsi="Times New Roman" w:eastAsia="宋体" w:cs="Times New Roman"/>
          <w:sz w:val="24"/>
        </w:rPr>
        <w:t>续表××</w:t>
      </w:r>
      <w:r>
        <w:rPr>
          <w:rFonts w:hint="eastAsia" w:ascii="Times New Roman" w:hAnsi="Times New Roman" w:eastAsia="宋体" w:cs="Times New Roman"/>
          <w:sz w:val="24"/>
        </w:rPr>
        <w:t>”</w:t>
      </w:r>
      <w:r>
        <w:rPr>
          <w:rFonts w:ascii="Times New Roman" w:hAnsi="Times New Roman" w:eastAsia="宋体" w:cs="Times New Roman"/>
          <w:sz w:val="24"/>
        </w:rPr>
        <w:t>。</w:t>
      </w:r>
    </w:p>
    <w:p w14:paraId="2467CEF9">
      <w:pPr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</w:rPr>
      </w:pPr>
    </w:p>
    <w:p w14:paraId="6AA82656">
      <w:pPr>
        <w:spacing w:line="312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6.公式</w:t>
      </w:r>
    </w:p>
    <w:p w14:paraId="5756A485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（1）公式采用公式编辑器插入，居中书写、单倍行距宋体五号、段前0行段后0行、无缩进、行距固定值20磅；</w:t>
      </w:r>
    </w:p>
    <w:p w14:paraId="2031174F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（2）公式的编号用括号括起写在右边行末，其间不加虚线，编号采用阿拉伯数字分章编号；</w:t>
      </w:r>
    </w:p>
    <w:p w14:paraId="02CBE89D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（3）公式前的正文，段前0行段后1行。</w:t>
      </w:r>
    </w:p>
    <w:p w14:paraId="56EF0E46">
      <w:pPr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</w:rPr>
      </w:pPr>
    </w:p>
    <w:p w14:paraId="489260BA">
      <w:pPr>
        <w:spacing w:line="312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7.参考文献</w:t>
      </w:r>
    </w:p>
    <w:p w14:paraId="7C255EB6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参考文献标题：黑体小二，段前30磅，段后18磅，行间距固定值20磅</w:t>
      </w:r>
    </w:p>
    <w:p w14:paraId="55F8798C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段落及行间距要求：</w:t>
      </w:r>
      <w:bookmarkStart w:id="0" w:name="_Hlk157273837"/>
      <w:r>
        <w:rPr>
          <w:rFonts w:ascii="Times New Roman" w:hAnsi="Times New Roman" w:eastAsia="宋体" w:cs="Times New Roman"/>
          <w:sz w:val="24"/>
        </w:rPr>
        <w:t>固定行距17磅，段前间距3磅，首行缩进2字符，两端对齐。</w:t>
      </w:r>
    </w:p>
    <w:p w14:paraId="6D36A53F">
      <w:pPr>
        <w:spacing w:line="312" w:lineRule="auto"/>
        <w:ind w:firstLine="480" w:firstLineChars="200"/>
        <w:rPr>
          <w:rFonts w:ascii="Times New Roman" w:hAnsi="Times New Roman" w:eastAsia="宋体" w:cs="Times New Roman"/>
          <w:color w:val="0000FF"/>
          <w:sz w:val="24"/>
        </w:rPr>
      </w:pPr>
      <w:r>
        <w:rPr>
          <w:rFonts w:ascii="Times New Roman" w:hAnsi="Times New Roman" w:eastAsia="宋体" w:cs="Times New Roman"/>
          <w:color w:val="0000FF"/>
          <w:sz w:val="24"/>
        </w:rPr>
        <w:t>符号和空格要求</w:t>
      </w:r>
    </w:p>
    <w:bookmarkEnd w:id="0"/>
    <w:p w14:paraId="267719EB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参考文献一律放在文后，参考文献的书写格式要按国家标准GB7714－2015《信息与文献 参考文献著录规则》规定。参考文献按文中出现的先后统一用阿拉伯数字进行自然编号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用方括号括起。</w:t>
      </w:r>
    </w:p>
    <w:p w14:paraId="704C9CF3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对作者已阅读过的对论文具有参考价值的文献应尽可能列出，并按文中引用文献出现的先后顺序连续编号。引用文献标示应置于所引内容的末尾的右上角，编号用阿拉伯数字并加上方括号。当在文中直接提及参考文献时，其编号应与正文排齐，不得将引用文献标示置于各级标题上。</w:t>
      </w:r>
    </w:p>
    <w:p w14:paraId="496495A3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参考文献表根据下述格式书写，并按顺序编号，即按文中引用的顺序将参考文献附于文末。作者姓名写到第三位，余者写</w:t>
      </w:r>
      <w:r>
        <w:rPr>
          <w:rFonts w:hint="eastAsia" w:ascii="Times New Roman" w:hAnsi="Times New Roman" w:eastAsia="宋体" w:cs="Times New Roman"/>
          <w:sz w:val="24"/>
        </w:rPr>
        <w:t>“</w:t>
      </w:r>
      <w:r>
        <w:rPr>
          <w:rFonts w:ascii="Times New Roman" w:hAnsi="Times New Roman" w:eastAsia="宋体" w:cs="Times New Roman"/>
          <w:sz w:val="24"/>
        </w:rPr>
        <w:t>，等</w:t>
      </w:r>
      <w:r>
        <w:rPr>
          <w:rFonts w:hint="eastAsia" w:ascii="Times New Roman" w:hAnsi="Times New Roman" w:eastAsia="宋体" w:cs="Times New Roman"/>
          <w:sz w:val="24"/>
        </w:rPr>
        <w:t>”</w:t>
      </w:r>
      <w:r>
        <w:rPr>
          <w:rFonts w:ascii="Times New Roman" w:hAnsi="Times New Roman" w:eastAsia="宋体" w:cs="Times New Roman"/>
          <w:sz w:val="24"/>
        </w:rPr>
        <w:t>或</w:t>
      </w:r>
      <w:r>
        <w:rPr>
          <w:rFonts w:hint="eastAsia" w:ascii="Times New Roman" w:hAnsi="Times New Roman" w:eastAsia="宋体" w:cs="Times New Roman"/>
          <w:sz w:val="24"/>
        </w:rPr>
        <w:t>“,</w:t>
      </w:r>
      <w:r>
        <w:rPr>
          <w:rFonts w:ascii="Times New Roman" w:hAnsi="Times New Roman" w:eastAsia="宋体" w:cs="Times New Roman"/>
          <w:sz w:val="24"/>
        </w:rPr>
        <w:t>et al</w:t>
      </w:r>
      <w:r>
        <w:rPr>
          <w:rFonts w:hint="eastAsia" w:ascii="Times New Roman" w:hAnsi="Times New Roman" w:eastAsia="宋体" w:cs="Times New Roman"/>
          <w:sz w:val="24"/>
        </w:rPr>
        <w:t>.”</w:t>
      </w:r>
      <w:r>
        <w:rPr>
          <w:rFonts w:ascii="Times New Roman" w:hAnsi="Times New Roman" w:eastAsia="宋体" w:cs="Times New Roman"/>
          <w:sz w:val="24"/>
        </w:rPr>
        <w:t>。</w:t>
      </w:r>
    </w:p>
    <w:p w14:paraId="7C60141E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常用的电子文献及载体类型标识：</w:t>
      </w:r>
    </w:p>
    <w:p w14:paraId="0CC0C5D3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M—专著；C—论文集；G—汇编</w:t>
      </w:r>
      <w:r>
        <w:rPr>
          <w:rFonts w:hint="eastAsia" w:ascii="Times New Roman" w:hAnsi="Times New Roman" w:eastAsia="宋体" w:cs="Times New Roman"/>
          <w:sz w:val="24"/>
        </w:rPr>
        <w:t>；</w:t>
      </w:r>
      <w:r>
        <w:rPr>
          <w:rFonts w:ascii="Times New Roman" w:hAnsi="Times New Roman" w:eastAsia="宋体" w:cs="Times New Roman"/>
          <w:sz w:val="24"/>
        </w:rPr>
        <w:t>N—报纸；J—期刊；D—学位论文；</w:t>
      </w:r>
    </w:p>
    <w:p w14:paraId="3B6F6A1D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R—报告；S—标准文献；P—专利；DB—数据库；CP—计算机程序；</w:t>
      </w:r>
    </w:p>
    <w:p w14:paraId="7844D334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A—档案； CM—舆图； DS—数据集；CP/DK—磁盘软件；</w:t>
      </w:r>
    </w:p>
    <w:p w14:paraId="52BB86CA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J/OL—电子期刊；EB/OL—电子公告；M/OL—电子专著；D/OL—电子学位论文；P/OL—电子专利；Z—其他</w:t>
      </w:r>
    </w:p>
    <w:p w14:paraId="312DE522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参考文献著录新格式（GB／T7714-2015）示例</w:t>
      </w:r>
    </w:p>
    <w:p w14:paraId="007F6124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</w:t>
      </w:r>
      <w:r>
        <w:rPr>
          <w:rFonts w:ascii="Times New Roman" w:hAnsi="Times New Roman" w:eastAsia="宋体" w:cs="Times New Roman"/>
          <w:sz w:val="24"/>
        </w:rPr>
        <w:t>普通图书</w:t>
      </w:r>
    </w:p>
    <w:p w14:paraId="568435EB">
      <w:pPr>
        <w:tabs>
          <w:tab w:val="left" w:pos="312"/>
        </w:tabs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bookmarkStart w:id="1" w:name="_Hlk157272885"/>
      <w:r>
        <w:rPr>
          <w:rFonts w:ascii="Times New Roman" w:hAnsi="Times New Roman" w:eastAsia="宋体" w:cs="Times New Roman"/>
          <w:sz w:val="24"/>
        </w:rPr>
        <w:t xml:space="preserve">[1]詹姆斯，兰伯特，斯托克，等. 战略物流管理[M]. </w:t>
      </w:r>
      <w:r>
        <w:rPr>
          <w:rFonts w:ascii="Times New Roman" w:hAnsi="Times New Roman" w:eastAsia="宋体" w:cs="Times New Roman"/>
          <w:color w:val="333333"/>
          <w:sz w:val="24"/>
          <w:shd w:val="clear" w:color="auto" w:fill="FFFFFF"/>
        </w:rPr>
        <w:t>邵晓峰，译. 北京：</w:t>
      </w:r>
      <w:r>
        <w:rPr>
          <w:rFonts w:ascii="Times New Roman" w:hAnsi="Times New Roman" w:eastAsia="宋体" w:cs="Times New Roman"/>
          <w:sz w:val="24"/>
        </w:rPr>
        <w:t>中国财政经济出版社，2003.</w:t>
      </w:r>
    </w:p>
    <w:p w14:paraId="44CEF16D">
      <w:pPr>
        <w:pStyle w:val="12"/>
        <w:spacing w:line="312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[2]O’BRIEN J A. Introduction to information systems [M]. 7th ed. Burr Ridgem III：Irwin, 1994.</w:t>
      </w:r>
    </w:p>
    <w:bookmarkEnd w:id="1"/>
    <w:p w14:paraId="6DB764A2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ascii="Times New Roman" w:hAnsi="Times New Roman" w:eastAsia="宋体" w:cs="Times New Roman"/>
          <w:sz w:val="24"/>
        </w:rPr>
        <w:t>2</w:t>
      </w:r>
      <w:r>
        <w:rPr>
          <w:rFonts w:hint="eastAsia" w:ascii="Times New Roman" w:hAnsi="Times New Roman" w:eastAsia="宋体" w:cs="Times New Roman"/>
          <w:sz w:val="24"/>
        </w:rPr>
        <w:t>）</w:t>
      </w:r>
      <w:r>
        <w:rPr>
          <w:rFonts w:ascii="Times New Roman" w:hAnsi="Times New Roman" w:eastAsia="宋体" w:cs="Times New Roman"/>
          <w:sz w:val="24"/>
        </w:rPr>
        <w:t>期刊</w:t>
      </w:r>
    </w:p>
    <w:p w14:paraId="69D8C7DA">
      <w:pPr>
        <w:tabs>
          <w:tab w:val="left" w:pos="312"/>
        </w:tabs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bookmarkStart w:id="2" w:name="_Hlk157272895"/>
      <w:r>
        <w:rPr>
          <w:rFonts w:ascii="Times New Roman" w:hAnsi="Times New Roman" w:eastAsia="宋体" w:cs="Times New Roman"/>
          <w:sz w:val="24"/>
        </w:rPr>
        <w:t>[3]邱泽国，郑艺，徐耀群. 新能源汽车动力电池闭环供应链回收补贴策略——基于演化博弈的分析[J]. 商业研究，2020，(8)：28-36.</w:t>
      </w:r>
    </w:p>
    <w:p w14:paraId="5332D37E">
      <w:pPr>
        <w:tabs>
          <w:tab w:val="left" w:pos="312"/>
        </w:tabs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[4]LI X, LI Y. NEV's supply chain coordination with financial constraint and demand uncertainty [J]. Sustainability, 2022, 14(3): 1114.</w:t>
      </w:r>
    </w:p>
    <w:bookmarkEnd w:id="2"/>
    <w:p w14:paraId="5C067F1F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ascii="Times New Roman" w:hAnsi="Times New Roman" w:eastAsia="宋体" w:cs="Times New Roman"/>
          <w:sz w:val="24"/>
        </w:rPr>
        <w:t>3</w:t>
      </w:r>
      <w:r>
        <w:rPr>
          <w:rFonts w:hint="eastAsia" w:ascii="Times New Roman" w:hAnsi="Times New Roman" w:eastAsia="宋体" w:cs="Times New Roman"/>
          <w:sz w:val="24"/>
        </w:rPr>
        <w:t>）</w:t>
      </w:r>
      <w:r>
        <w:rPr>
          <w:rFonts w:ascii="Times New Roman" w:hAnsi="Times New Roman" w:eastAsia="宋体" w:cs="Times New Roman"/>
          <w:sz w:val="24"/>
        </w:rPr>
        <w:t>会议论文集</w:t>
      </w:r>
    </w:p>
    <w:p w14:paraId="28BBCFBB">
      <w:pPr>
        <w:spacing w:line="312" w:lineRule="auto"/>
        <w:ind w:firstLine="480" w:firstLineChars="200"/>
        <w:rPr>
          <w:rFonts w:ascii="Times New Roman" w:hAnsi="Times New Roman" w:cs="Times New Roman"/>
          <w:sz w:val="24"/>
        </w:rPr>
      </w:pPr>
      <w:bookmarkStart w:id="3" w:name="_Hlk157272907"/>
      <w:r>
        <w:rPr>
          <w:rFonts w:ascii="Times New Roman" w:hAnsi="Times New Roman" w:eastAsia="宋体" w:cs="Times New Roman"/>
          <w:sz w:val="24"/>
        </w:rPr>
        <w:t xml:space="preserve">[1] </w:t>
      </w:r>
      <w:bookmarkStart w:id="4" w:name="_Hlk157272950"/>
      <w:r>
        <w:rPr>
          <w:rFonts w:ascii="Times New Roman" w:hAnsi="Times New Roman" w:eastAsia="宋体" w:cs="Times New Roman"/>
          <w:sz w:val="24"/>
        </w:rPr>
        <w:t>GRUBER P, THEI F J, TOME A M, et al. Automatic denoising using local independent component analysis [C] // Proceedings of EIS 2004. Portugal：[s.n.], 2004：255-260. ([s.n.]表示出版者不明)</w:t>
      </w:r>
      <w:bookmarkEnd w:id="4"/>
    </w:p>
    <w:p w14:paraId="60DA66F1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[2] </w:t>
      </w:r>
      <w:bookmarkStart w:id="5" w:name="_Hlk157272991"/>
      <w:r>
        <w:rPr>
          <w:rFonts w:ascii="Times New Roman" w:hAnsi="Times New Roman" w:eastAsia="宋体" w:cs="Times New Roman"/>
          <w:sz w:val="24"/>
        </w:rPr>
        <w:t>HRUSKA K, KINDL V, PECHANEK R. Evaluation of different approaches of mathematical modelling of thermal phenomena applied to induction motors [C] // 2014 ELEKTRO Annual Conference of IEEE. Moscow：IEEE, 2014：358-362.</w:t>
      </w:r>
      <w:bookmarkEnd w:id="5"/>
    </w:p>
    <w:bookmarkEnd w:id="3"/>
    <w:p w14:paraId="41B6466F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（4）学位论文</w:t>
      </w:r>
    </w:p>
    <w:p w14:paraId="796EAD32">
      <w:pPr>
        <w:numPr>
          <w:ilvl w:val="0"/>
          <w:numId w:val="2"/>
        </w:numPr>
        <w:tabs>
          <w:tab w:val="left" w:pos="312"/>
          <w:tab w:val="clear" w:pos="595"/>
        </w:tabs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bookmarkStart w:id="6" w:name="_Hlk157273006"/>
      <w:r>
        <w:rPr>
          <w:rFonts w:ascii="Times New Roman" w:hAnsi="Times New Roman" w:eastAsia="宋体" w:cs="Times New Roman"/>
          <w:sz w:val="24"/>
        </w:rPr>
        <w:t>苏子豪. 供应链网络级联故障与脆弱性研究[D]. 南京：南京邮电大学，2019.</w:t>
      </w:r>
    </w:p>
    <w:bookmarkEnd w:id="6"/>
    <w:p w14:paraId="7A21C0F3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（5）科技报告</w:t>
      </w:r>
    </w:p>
    <w:p w14:paraId="436FF4AE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[1]</w:t>
      </w:r>
      <w:r>
        <w:rPr>
          <w:rFonts w:ascii="Times New Roman" w:hAnsi="Times New Roman" w:cs="Times New Roman"/>
          <w:sz w:val="24"/>
        </w:rPr>
        <w:t xml:space="preserve"> </w:t>
      </w:r>
      <w:bookmarkStart w:id="7" w:name="_Hlk157273014"/>
      <w:r>
        <w:rPr>
          <w:rFonts w:ascii="Times New Roman" w:hAnsi="Times New Roman" w:eastAsia="宋体" w:cs="Times New Roman"/>
          <w:sz w:val="24"/>
        </w:rPr>
        <w:t>中华人民共和国国务院新闻办公室. 国防白皮书：中国武装力量的多样化运用</w:t>
      </w:r>
      <w:r>
        <w:rPr>
          <w:rFonts w:ascii="Times New Roman" w:hAnsi="Times New Roman" w:cs="Times New Roman"/>
          <w:sz w:val="24"/>
        </w:rPr>
        <w:t>[R/OL].</w:t>
      </w:r>
      <w:r>
        <w:rPr>
          <w:rFonts w:ascii="Times New Roman" w:hAnsi="Times New Roman" w:eastAsia="宋体" w:cs="Times New Roman"/>
          <w:sz w:val="24"/>
        </w:rPr>
        <w:t>（2013-04-16）[2014-06-11]</w:t>
      </w:r>
      <w:r>
        <w:rPr>
          <w:rFonts w:ascii="Times New Roman" w:hAnsi="Times New Roman" w:cs="Times New Roman"/>
          <w:sz w:val="24"/>
        </w:rPr>
        <w:t>.h</w:t>
      </w:r>
      <w:r>
        <w:rPr>
          <w:rFonts w:ascii="Times New Roman" w:hAnsi="Times New Roman" w:eastAsia="宋体" w:cs="Times New Roman"/>
          <w:sz w:val="24"/>
        </w:rPr>
        <w:t xml:space="preserve">ttp://www.mod.gov.cn/affair/2013-04/16/ content_44428398.htm. </w:t>
      </w:r>
      <w:bookmarkEnd w:id="7"/>
    </w:p>
    <w:p w14:paraId="431944A9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[3] </w:t>
      </w:r>
      <w:bookmarkStart w:id="8" w:name="_Hlk157273030"/>
      <w:r>
        <w:rPr>
          <w:rFonts w:ascii="Times New Roman" w:hAnsi="Times New Roman" w:eastAsia="宋体" w:cs="Times New Roman"/>
          <w:sz w:val="24"/>
        </w:rPr>
        <w:t>U.S.Department of Transportation, Federal Highway Administration. Guidelines for handling excavated acid-producing materials：PB 91-194001[R]. Springfield：U.S. Department of Commerce National Information Service, 1990.</w:t>
      </w:r>
      <w:bookmarkEnd w:id="8"/>
    </w:p>
    <w:p w14:paraId="11DF02D7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（6）专利文献</w:t>
      </w:r>
    </w:p>
    <w:p w14:paraId="28E7E575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[1] </w:t>
      </w:r>
      <w:bookmarkStart w:id="9" w:name="_Hlk157273039"/>
      <w:r>
        <w:rPr>
          <w:rFonts w:ascii="Times New Roman" w:hAnsi="Times New Roman" w:eastAsia="宋体" w:cs="Times New Roman"/>
          <w:sz w:val="24"/>
        </w:rPr>
        <w:t>张凯军. 轨道火车及高速归到火车紧急安全制动辅助装置：201220158825.2[P]. 2012-04-05.</w:t>
      </w:r>
      <w:bookmarkEnd w:id="9"/>
    </w:p>
    <w:p w14:paraId="188E07A5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（7）报纸中析出的文献</w:t>
      </w:r>
    </w:p>
    <w:p w14:paraId="40295107">
      <w:pPr>
        <w:spacing w:line="312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[1]</w:t>
      </w:r>
      <w:bookmarkStart w:id="10" w:name="_Hlk157273053"/>
      <w:r>
        <w:rPr>
          <w:rFonts w:ascii="Times New Roman" w:hAnsi="Times New Roman" w:eastAsia="宋体" w:cs="Times New Roman"/>
          <w:sz w:val="24"/>
        </w:rPr>
        <w:t>丁文祥. 数字革命与竞争国际化[N].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sz w:val="24"/>
        </w:rPr>
        <w:t>中国青年报，2000-11-20(15).</w:t>
      </w:r>
      <w:bookmarkEnd w:id="10"/>
    </w:p>
    <w:p w14:paraId="678245D0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（8）标准文献</w:t>
      </w:r>
    </w:p>
    <w:p w14:paraId="597F179D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[1]</w:t>
      </w:r>
      <w:bookmarkStart w:id="11" w:name="_Hlk157273062"/>
      <w:r>
        <w:rPr>
          <w:rFonts w:ascii="Times New Roman" w:hAnsi="Times New Roman" w:eastAsia="宋体" w:cs="Times New Roman"/>
          <w:sz w:val="24"/>
        </w:rPr>
        <w:t>全国信息与文献标准化技术委员会. 文献著录：第 4 部分 非书资料：GB/T 3792.4—2009[S]. 北京：中国标准出版社，2010：3.</w:t>
      </w:r>
      <w:bookmarkEnd w:id="11"/>
    </w:p>
    <w:p w14:paraId="2BC28435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（9）计算机程序</w:t>
      </w:r>
    </w:p>
    <w:p w14:paraId="73FC47D2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[1] </w:t>
      </w:r>
      <w:bookmarkStart w:id="12" w:name="_Hlk157273080"/>
      <w:r>
        <w:rPr>
          <w:rFonts w:ascii="Times New Roman" w:hAnsi="Times New Roman" w:eastAsia="宋体" w:cs="Times New Roman"/>
          <w:sz w:val="24"/>
        </w:rPr>
        <w:t>Scitor corporation. Project scheduler [CP/DK]. Sunnyvale, Calif：Scitor Corporation, c1983.</w:t>
      </w:r>
      <w:bookmarkEnd w:id="12"/>
    </w:p>
    <w:p w14:paraId="61851CD8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（10）电子资源</w:t>
      </w:r>
      <w:r>
        <w:rPr>
          <w:rFonts w:ascii="Times New Roman" w:hAnsi="Times New Roman" w:eastAsia="宋体" w:cs="Times New Roman"/>
          <w:szCs w:val="21"/>
        </w:rPr>
        <w:t>（不包括电子著作、电子连续出版物、电子学位论文、电子专利）</w:t>
      </w:r>
    </w:p>
    <w:p w14:paraId="5DEDC838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[1] </w:t>
      </w:r>
      <w:bookmarkStart w:id="13" w:name="_Hlk157273090"/>
      <w:r>
        <w:rPr>
          <w:rFonts w:ascii="Times New Roman" w:hAnsi="Times New Roman" w:eastAsia="宋体" w:cs="Times New Roman"/>
          <w:sz w:val="24"/>
        </w:rPr>
        <w:t xml:space="preserve">KNOWLEN C, WILLIAMS J, MATTICK AT, et al. Quasi-isothermal expansion engines for liquid nitrogen automotive propulsion [EB/OL]. [2002-10-08]. </w:t>
      </w:r>
      <w:r>
        <w:rPr>
          <w:rFonts w:hint="eastAsia" w:ascii="Times New Roman" w:hAnsi="Times New Roman" w:eastAsia="宋体" w:cs="Times New Roman"/>
          <w:sz w:val="24"/>
        </w:rPr>
        <w:t>http://www.aa.Washington.edu/AERP/CRYOCAR/Papers/sae97</w:t>
      </w:r>
      <w:r>
        <w:rPr>
          <w:rFonts w:ascii="Times New Roman" w:hAnsi="Times New Roman" w:eastAsia="宋体" w:cs="Times New Roman"/>
          <w:sz w:val="24"/>
        </w:rPr>
        <w:t xml:space="preserve">. pdf. </w:t>
      </w:r>
      <w:bookmarkEnd w:id="13"/>
    </w:p>
    <w:p w14:paraId="1062331D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（11）汇编</w:t>
      </w:r>
    </w:p>
    <w:p w14:paraId="26272780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[1] </w:t>
      </w:r>
      <w:bookmarkStart w:id="14" w:name="_Hlk157273101"/>
      <w:r>
        <w:rPr>
          <w:rFonts w:ascii="Times New Roman" w:hAnsi="Times New Roman" w:eastAsia="宋体" w:cs="Times New Roman"/>
          <w:sz w:val="24"/>
        </w:rPr>
        <w:t xml:space="preserve">韩吉人. 论职工教育的特点[G]//中国职工教育研究会. 职工教育研究论文集. 北京：人民教育出版社，1985：90-99. </w:t>
      </w:r>
      <w:bookmarkEnd w:id="14"/>
    </w:p>
    <w:p w14:paraId="77DEA131">
      <w:pPr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</w:rPr>
      </w:pPr>
    </w:p>
    <w:p w14:paraId="36A686FC">
      <w:pPr>
        <w:spacing w:line="312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8.附录</w:t>
      </w:r>
    </w:p>
    <w:p w14:paraId="0155DBF2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附录是对于一些不宜放在正文中，但有参考价值的内容，可编入毕业设计（论文）的附录中，例如公式的推演、编写的程序等；如果文章中引用的符号较多时，便于读者查阅，可以编写一个符号说明，注明符号代表的意义。</w:t>
      </w:r>
    </w:p>
    <w:p w14:paraId="24FFB9D2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附录序号相应采用</w:t>
      </w:r>
      <w:r>
        <w:rPr>
          <w:rFonts w:cs="Times New Roman" w:asciiTheme="minorEastAsia" w:hAnsiTheme="minorEastAsia"/>
          <w:sz w:val="24"/>
        </w:rPr>
        <w:t>“附录一”、“附录二”</w:t>
      </w:r>
      <w:r>
        <w:rPr>
          <w:rFonts w:ascii="Times New Roman" w:hAnsi="Times New Roman" w:eastAsia="宋体" w:cs="Times New Roman"/>
          <w:sz w:val="24"/>
        </w:rPr>
        <w:t>等。</w:t>
      </w:r>
    </w:p>
    <w:p w14:paraId="40FE932C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</w:p>
    <w:p w14:paraId="41269552">
      <w:pPr>
        <w:spacing w:line="312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9.致谢</w:t>
      </w:r>
    </w:p>
    <w:p w14:paraId="290E08A5">
      <w:pPr>
        <w:spacing w:line="312" w:lineRule="auto"/>
        <w:ind w:firstLine="464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cs="Times New Roman" w:asciiTheme="minorEastAsia" w:hAnsiTheme="minorEastAsia"/>
          <w:spacing w:val="-4"/>
          <w:sz w:val="24"/>
        </w:rPr>
        <w:t>“致谢”</w:t>
      </w:r>
      <w:r>
        <w:rPr>
          <w:rFonts w:hint="eastAsia" w:cs="Times New Roman" w:asciiTheme="minorEastAsia" w:hAnsiTheme="minorEastAsia"/>
          <w:spacing w:val="-4"/>
          <w:sz w:val="24"/>
        </w:rPr>
        <w:t>标题</w:t>
      </w:r>
      <w:r>
        <w:rPr>
          <w:rFonts w:cs="Times New Roman" w:asciiTheme="minorEastAsia" w:hAnsiTheme="minorEastAsia"/>
          <w:spacing w:val="-4"/>
          <w:sz w:val="24"/>
        </w:rPr>
        <w:t>：</w:t>
      </w:r>
      <w:r>
        <w:rPr>
          <w:rFonts w:ascii="Times New Roman" w:hAnsi="Times New Roman" w:eastAsia="宋体" w:cs="Times New Roman"/>
          <w:sz w:val="24"/>
        </w:rPr>
        <w:t>段前30磅，段后18磅，行距固定值20磅。居中对齐，黑体小2号。</w:t>
      </w:r>
    </w:p>
    <w:p w14:paraId="7DB0F96B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致谢应以简短的文字对在课题研究和设计说明书（论文）撰写过程中曾直接给予帮助的人员（例如指导教师、答疑教师及其他人员）表示自己的谢意，这不仅是一种礼貌，也是对他人劳动的尊重，是治学者应有的道德与作风。</w:t>
      </w:r>
    </w:p>
    <w:p w14:paraId="29E94FFA">
      <w:pPr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</w:rPr>
      </w:pPr>
    </w:p>
    <w:p w14:paraId="0EABE024">
      <w:pPr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10.篇眉</w:t>
      </w:r>
    </w:p>
    <w:p w14:paraId="2B58674F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篇眉从第一章开始，采用宋体五号字居中书写，并在下方加一横线。</w:t>
      </w:r>
    </w:p>
    <w:p w14:paraId="0043804F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奇数页的页眉书写：毕业设计（论文）的题目  如：</w:t>
      </w:r>
    </w:p>
    <w:p w14:paraId="583B892D">
      <w:pPr>
        <w:spacing w:line="312" w:lineRule="auto"/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5CBDACCD">
      <w:pPr>
        <w:spacing w:line="312" w:lineRule="auto"/>
        <w:ind w:firstLine="420" w:firstLineChars="200"/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毕业设计（论文）的题目</w:t>
      </w:r>
    </w:p>
    <w:p w14:paraId="34D4EAE1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039995" cy="0"/>
                <wp:effectExtent l="0" t="4445" r="0" b="508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707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0pt;height:0pt;width:396.85pt;mso-position-horizontal:center;mso-position-horizontal-relative:margin;z-index:251660288;mso-width-relative:page;mso-height-relative:page;" filled="f" stroked="t" coordsize="21600,21600" o:gfxdata="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F73J7NIAAAAC&#10;AQAADwAAAAAAAAABACAAAAAiAAAAZHJzL2Rvd25yZXYueG1sUEsBAhQAFAAAAAgAh07iQPQHuGLp&#10;AQAAuAMAAA4AAAAAAAAAAQAgAAAAI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F10A010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偶数页的页眉书写：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xx</w:t>
      </w:r>
      <w:r>
        <w:rPr>
          <w:rFonts w:ascii="Times New Roman" w:hAnsi="Times New Roman" w:eastAsia="宋体" w:cs="Times New Roman"/>
          <w:sz w:val="24"/>
        </w:rPr>
        <w:t>大学毕业设计（论文）  如：</w:t>
      </w:r>
    </w:p>
    <w:p w14:paraId="19FEB929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</w:rPr>
      </w:pPr>
    </w:p>
    <w:p w14:paraId="7670CDB3">
      <w:pPr>
        <w:spacing w:line="312" w:lineRule="auto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xx</w:t>
      </w:r>
      <w:r>
        <w:rPr>
          <w:rFonts w:ascii="Times New Roman" w:hAnsi="Times New Roman" w:eastAsia="宋体" w:cs="Times New Roman"/>
          <w:szCs w:val="21"/>
        </w:rPr>
        <w:t>大学</w:t>
      </w:r>
      <w:bookmarkStart w:id="15" w:name="_GoBack"/>
      <w:bookmarkEnd w:id="15"/>
      <w:r>
        <w:rPr>
          <w:rFonts w:ascii="Times New Roman" w:hAnsi="Times New Roman" w:eastAsia="宋体" w:cs="Times New Roman"/>
          <w:szCs w:val="21"/>
        </w:rPr>
        <w:t>毕业设计（论文）</w:t>
      </w:r>
    </w:p>
    <w:p w14:paraId="1D21D9DC">
      <w:pPr>
        <w:spacing w:line="312" w:lineRule="auto"/>
        <w:ind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116205</wp:posOffset>
                </wp:positionH>
                <wp:positionV relativeFrom="paragraph">
                  <wp:posOffset>15875</wp:posOffset>
                </wp:positionV>
                <wp:extent cx="5039995" cy="0"/>
                <wp:effectExtent l="0" t="0" r="27305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399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.15pt;margin-top:1.25pt;height:0pt;width:396.85pt;mso-position-horizontal-relative:margin;z-index:251659264;mso-width-relative:page;mso-height-relative:page;" filled="f" stroked="t" coordsize="21600,21600" o:gfxdata="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6Ur340gAAAAYB&#10;AAAPAAAAAAAAAAEAIAAAACIAAABkcnMvZG93bnJldi54bWxQSwECFAAUAAAACACHTuJArPNbougB&#10;AAC4AwAADgAAAAAAAAABACAAAAAh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C2DA937">
      <w:pPr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1</w:t>
      </w:r>
      <w:r>
        <w:rPr>
          <w:rFonts w:ascii="Times New Roman" w:hAnsi="Times New Roman" w:eastAsia="宋体" w:cs="Times New Roman"/>
          <w:b/>
          <w:bCs/>
          <w:sz w:val="24"/>
        </w:rPr>
        <w:t>1.页码</w:t>
      </w:r>
    </w:p>
    <w:p w14:paraId="0E8D5837">
      <w:pPr>
        <w:spacing w:line="312" w:lineRule="auto"/>
        <w:ind w:firstLine="480" w:firstLineChars="200"/>
        <w:rPr>
          <w:rFonts w:ascii="Times New Roman" w:hAnsi="Times New Roman" w:eastAsia="宋体" w:cs="Times New Roman"/>
          <w:bCs/>
          <w:sz w:val="24"/>
        </w:rPr>
      </w:pPr>
      <w:r>
        <w:rPr>
          <w:rFonts w:hint="eastAsia" w:ascii="Times New Roman" w:hAnsi="Times New Roman" w:eastAsia="宋体" w:cs="Times New Roman"/>
          <w:bCs/>
          <w:sz w:val="24"/>
        </w:rPr>
        <w:t>页码从引言开始按阿拉伯数字连续编排，摘要、目录等前置部分单独编排。页码位于页面底端，居中书写。</w:t>
      </w:r>
    </w:p>
    <w:p w14:paraId="0883332C">
      <w:pPr>
        <w:spacing w:line="312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154074"/>
    <w:multiLevelType w:val="multilevel"/>
    <w:tmpl w:val="DA15407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2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701F1E64"/>
    <w:multiLevelType w:val="singleLevel"/>
    <w:tmpl w:val="701F1E64"/>
    <w:lvl w:ilvl="0" w:tentative="0">
      <w:start w:val="1"/>
      <w:numFmt w:val="decimal"/>
      <w:lvlText w:val="[%1]"/>
      <w:lvlJc w:val="left"/>
      <w:pPr>
        <w:tabs>
          <w:tab w:val="left" w:pos="595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jMjNiNGNlZjNkOTVmOGYzNjkwM2I2ZjliOTk4ODIifQ=="/>
  </w:docVars>
  <w:rsids>
    <w:rsidRoot w:val="63B727F4"/>
    <w:rsid w:val="00020635"/>
    <w:rsid w:val="00215114"/>
    <w:rsid w:val="003E557E"/>
    <w:rsid w:val="00402178"/>
    <w:rsid w:val="004310C3"/>
    <w:rsid w:val="007E1568"/>
    <w:rsid w:val="00B729D0"/>
    <w:rsid w:val="00BA2DA8"/>
    <w:rsid w:val="00D15C25"/>
    <w:rsid w:val="00E87491"/>
    <w:rsid w:val="00F261BC"/>
    <w:rsid w:val="03BC750B"/>
    <w:rsid w:val="05890CD4"/>
    <w:rsid w:val="06F35CC1"/>
    <w:rsid w:val="079671A5"/>
    <w:rsid w:val="08E549F5"/>
    <w:rsid w:val="09410B98"/>
    <w:rsid w:val="09FD11B8"/>
    <w:rsid w:val="0BC34ABE"/>
    <w:rsid w:val="0CAA4C53"/>
    <w:rsid w:val="0DC01B03"/>
    <w:rsid w:val="0E5A30FA"/>
    <w:rsid w:val="0FD605C9"/>
    <w:rsid w:val="161B1EB2"/>
    <w:rsid w:val="17207916"/>
    <w:rsid w:val="17AF07BB"/>
    <w:rsid w:val="1CE634B7"/>
    <w:rsid w:val="1F775289"/>
    <w:rsid w:val="2267528B"/>
    <w:rsid w:val="25926760"/>
    <w:rsid w:val="277D0F63"/>
    <w:rsid w:val="2AB06FC0"/>
    <w:rsid w:val="2DE26FB5"/>
    <w:rsid w:val="2F7229E1"/>
    <w:rsid w:val="32024492"/>
    <w:rsid w:val="33D10F50"/>
    <w:rsid w:val="34786557"/>
    <w:rsid w:val="39076132"/>
    <w:rsid w:val="39FD1950"/>
    <w:rsid w:val="3A784B7D"/>
    <w:rsid w:val="3F1A4AD4"/>
    <w:rsid w:val="3FC260CF"/>
    <w:rsid w:val="42862F6A"/>
    <w:rsid w:val="44A53010"/>
    <w:rsid w:val="49010CD8"/>
    <w:rsid w:val="4EB946C7"/>
    <w:rsid w:val="51FB7581"/>
    <w:rsid w:val="542D40CD"/>
    <w:rsid w:val="58BE001C"/>
    <w:rsid w:val="5A861519"/>
    <w:rsid w:val="5B5F04BE"/>
    <w:rsid w:val="63B727F4"/>
    <w:rsid w:val="68443284"/>
    <w:rsid w:val="6C0D1C9B"/>
    <w:rsid w:val="6C520768"/>
    <w:rsid w:val="722D68F4"/>
    <w:rsid w:val="733F0D8F"/>
    <w:rsid w:val="744D3735"/>
    <w:rsid w:val="74B72AE2"/>
    <w:rsid w:val="76636B42"/>
    <w:rsid w:val="785D01AA"/>
    <w:rsid w:val="799C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Plain Text"/>
    <w:basedOn w:val="1"/>
    <w:autoRedefine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页眉 Char"/>
    <w:basedOn w:val="9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3384</Words>
  <Characters>4653</Characters>
  <Lines>35</Lines>
  <Paragraphs>9</Paragraphs>
  <TotalTime>1</TotalTime>
  <ScaleCrop>false</ScaleCrop>
  <LinksUpToDate>false</LinksUpToDate>
  <CharactersWithSpaces>4840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2024-01-28T11:17:00Z</dcterms:created>
  <dc:creator>Administrator</dc:creator>
  <cp:lastModifiedBy>nirvana</cp:lastModifiedBy>
  <dcterms:modified xsi:type="dcterms:W3CDTF">2026-08-17T07:49:49Z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182418CC3B3542BDAF23522D5F1ACFA9_13</vt:lpwstr>
  </property>
  <property fmtid="{D5CDD505-2E9C-101B-9397-08002B2CF9AE}" pid="4" name="KSOTemplateDocerSaveRecord">
    <vt:lpwstr>eyJoZGlkIjoiNzRiNDA5MzA0YWIyYTg4YmQ3MjBmMzFmZjE4MjA2ZDYiLCJ1c2VySWQiOiIyODIzNDU0NDgifQ==</vt:lpwstr>
  </property>
</Properties>
</file>