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企业数字化转型怎么衡量：文本词频、数字资产与指标选择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数字化转型最容易犯的错误，是把任何带有“数字”二字的指标都当成同一个概念。数字技术投入、数字资产、年报中的数字化表述、线上销售能力和组织变革，测量的其实是不同维度。研究的第一步是把理论概念拆开：你关心的是技术采用、业务数字化，还是数字化能力带来的组织变化。</w:t>
      </w:r>
    </w:p>
    <w:p>
      <w:pPr>
        <w:keepLines/>
        <w:ind w:firstLine="403"/>
      </w:pPr>
      <w:r>
        <w:t>文本词频法常用，因为年报公开、样本广、可追溯。但词频高不必然代表转型深：企业可能只是披露风格更积极，也可能因为行业术语更多。因此需要明确词典来源、分词规则、是否做长度标准化，并用人工抽查和替代词典检验测量有效性。</w:t>
      </w:r>
    </w:p>
    <w:p>
      <w:pPr>
        <w:keepLines/>
        <w:ind w:firstLine="403"/>
      </w:pPr>
      <w:r>
        <w:t>数字资产、软件投入或无形资产相关口径更接近投入端，但会遗漏轻资产的组织与流程变化；专利、平台使用或第三方指数又各自有覆盖边界。没有绝对最好的指标，只有与研究问题最匹配的指标。若研究的是短期投入，资产和费用类指标可能更合适；若研究的是战略转向，文本和综合指数可能更有解释力。</w:t>
      </w:r>
    </w:p>
    <w:p>
      <w:pPr>
        <w:keepLines/>
        <w:ind w:firstLine="403"/>
      </w:pPr>
      <w:r>
        <w:t>论文中要把指标构造写到可以复现：数据来自哪里、年份如何匹配、缺失值如何处理、标准化如何完成、为何该指标与理论概念一致。然后用另一类口径做稳健性，而不是在正文里把所有指标混成一个“数字化程度”。</w:t>
      </w:r>
    </w:p>
    <w:p>
      <w:pPr>
        <w:keepLines/>
        <w:ind w:firstLine="403"/>
      </w:pPr>
      <w:r>
        <w:t>测量不是数据清洗的附属步骤，它决定了你最终在解释什么。把概念和指标之间的距离讲清楚，实证结论才有可信的边界。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企业数字化转型怎么衡量：文本词频、数字资产与指标选择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