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托宾Q值怎么算：公式、变量口径与异常值处理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托宾Q常被用来描述企业市场价值相对于资产重置成本的比率。在中国上市公司研究中，受数据可得性限制，通常使用近似口径。真正重要的不是背出一个公式，而是保证分子、分母、时点和单位在同一口径下成立。</w:t>
      </w:r>
    </w:p>
    <w:p>
      <w:pPr>
        <w:keepLines/>
        <w:ind w:firstLine="403"/>
      </w:pPr>
      <w:r>
        <w:t>常见近似做法是用市场价值相关项目加债务账面价值构成分子，用总资产账面价值构成分母。但不同数据库字段的命名和合并口径可能不同：流通股与非流通股如何估值，优先股是否存在，负债使用总负债还是特定项目，年末市值对应哪一天，都要在代码和正文中明确。</w:t>
      </w:r>
    </w:p>
    <w:p>
      <w:pPr>
        <w:keepLines/>
        <w:ind w:firstLine="403"/>
      </w:pPr>
      <w:r>
        <w:t>Q值通常右偏且可能出现极端值。先检查是否存在零资产、单位错位、复权口径不一致和合并报表变化，再决定是否缩尾。缩尾不是为了让结果更显著，而是降低极端观测对回归斜率的过度影响；报告缩尾阈值并在稳健性中使用不同比例或对数替代，是更透明的做法。</w:t>
      </w:r>
    </w:p>
    <w:p>
      <w:pPr>
        <w:keepLines/>
        <w:ind w:firstLine="403"/>
      </w:pPr>
      <w:r>
        <w:t>解释Q值也要谨慎。它反映市场对企业未来机会和资产价值的综合判断，不等于当期盈利能力，更不能直接视为管理质量。若研究经营绩效，可以与ROA、销售增长等会计指标互为补充，而不要用一个指标承担所有含义。</w:t>
      </w:r>
    </w:p>
    <w:p>
      <w:pPr>
        <w:keepLines/>
        <w:ind w:firstLine="403"/>
      </w:pPr>
      <w:r>
        <w:t>每一个变量公式，都是研究设计的一部分。把口径写清楚，读者才知道你的结果究竟对应哪一种企业价值。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托宾Q值怎么算：公式、变量口径与异常值处理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