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融资约束SA、KZ和WW指数的定义与适用差异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融资约束看不见，研究者只能通过财务行为和企业特征去近似它。SA、KZ和WW指数之所以常用，是因为它们提供了不同的代理方式；也正因如此，不能把它们当成可以随意互换的三个名字。</w:t>
      </w:r>
    </w:p>
    <w:p>
      <w:pPr>
        <w:keepLines/>
        <w:ind w:firstLine="403"/>
      </w:pPr>
      <w:r>
        <w:t>SA指数主要由企业规模和年龄构成，计算相对简洁，适用于担心财务流量变量受内生影响的场景，但它更像企业外部融资条件的结构性代理。KZ指数依赖现金流、杠杆、股利、现金持有等变量，信息更丰富，却也可能把经营结果混入约束测量。WW指数同样使用多项财务变量，强调外部融资摩擦，但数据口径和时间匹配更需要严格核对。</w:t>
      </w:r>
    </w:p>
    <w:p>
      <w:pPr>
        <w:keepLines/>
        <w:ind w:firstLine="403"/>
      </w:pPr>
      <w:r>
        <w:t>选指数时先回到研究问题：若X会直接影响现金流或投资，使用含这些变量的KZ、WW作为因变量或中介变量时要特别警惕机械相关；若关注成长型、小规模企业的长期融资劣势，SA可能更贴近结构特征。最好的做法不是宣称某一指数“绝对正确”，而是说明主指标为何匹配理论，并用另一个指标做边界检验。</w:t>
      </w:r>
    </w:p>
    <w:p>
      <w:pPr>
        <w:keepLines/>
        <w:ind w:firstLine="403"/>
      </w:pPr>
      <w:r>
        <w:t>构造时要统一单位和会计口径，处理极端值，明确指数方向。不同论文的系数符号、变量定义和样本市场可能不同，不能只从二手代码复制公式。先回到原始文献或可靠数据说明，逐项验证。</w:t>
      </w:r>
    </w:p>
    <w:p>
      <w:pPr>
        <w:keepLines/>
        <w:ind w:firstLine="403"/>
      </w:pPr>
      <w:r>
        <w:t>融资约束指数是理论概念的近似，不是融资困难的直接观测。只有承认这种近似，才能在解释结果时保持应有的克制。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融资约束SA、KZ和WW指数的定义与适用差异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