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ind w:firstLine="403"/>
      </w:pPr>
      <w:r>
        <w:t>大家好，今天我们围绕《ESG表现变量怎么选：评级、得分、分歧与数据匹配》把一个常被公式和术语包围的问题，讲成一套真正能用于研究设计和实证写作的判断方法。请先记住：方法不是为了把结果做得好看，而是为了让读者相信，你的结论确实来自所讨论的因果关系，而不是来自样本、口径或模型设定的偶然组合。</w:t>
      </w:r>
    </w:p>
    <w:p>
      <w:pPr>
        <w:keepLines/>
        <w:ind w:firstLine="403"/>
      </w:pPr>
      <w:r>
        <w:t>ESG研究的难点不只是找到一个评级字段，而是理解不同评级机构在评什么。有人更强调披露，有人更强调风险暴露，有人更强调行业重要性。因此同一企业在不同机构中的分数可能不一致，这种分歧本身就是研究中必须面对的信息，而不是简单的数据错误。</w:t>
      </w:r>
    </w:p>
    <w:p>
      <w:pPr>
        <w:keepLines/>
        <w:ind w:firstLine="403"/>
      </w:pPr>
      <w:r>
        <w:t>选择ESG变量前，先明确因变量和研究机制。如果研究资本市场反应，市场参与者实际关注的评级覆盖和发布时间很重要；如果研究企业真实环境绩效，排放、绿色专利或污染治理等具体指标可能比综合ESG分数更贴近问题。综合评分适合总体责任表现，但不能自动代表每一个环境或社会维度。</w:t>
      </w:r>
    </w:p>
    <w:p>
      <w:pPr>
        <w:keepLines/>
        <w:ind w:firstLine="403"/>
      </w:pPr>
      <w:r>
        <w:t>数据匹配尤其需要谨慎。要确认证券代码、企业名称变更、评级年份和财务年度是否一致，避免把后来发布的评级回填到此前结果期。评级缺失也不是随机的，通常与企业规模、上市状态和披露能力有关，因此样本选择要报告得透明。</w:t>
      </w:r>
    </w:p>
    <w:p>
      <w:pPr>
        <w:keepLines/>
        <w:ind w:firstLine="403"/>
      </w:pPr>
      <w:r>
        <w:t>可以将主评级与替代评级、评级等级与连续得分、总分与分维度得分结合使用，检验结论是否依赖单一机构。若不同口径结果不同，不要急于挑一个“显著”的版本，应解释它们反映了披露、风险或真实绩效的哪种差异。</w:t>
      </w:r>
    </w:p>
    <w:p>
      <w:pPr>
        <w:keepLines/>
        <w:ind w:firstLine="403"/>
      </w:pPr>
      <w:r>
        <w:t>ESG变量的专业性，不在于数据名称有多热门，而在于你能否说清评分含义、数据时点与理论概念之间的对应关系。</w:t>
      </w:r>
    </w:p>
    <w:p>
      <w:pPr>
        <w:keepLines/>
        <w:ind w:firstLine="403"/>
      </w:pPr>
      <w:r>
        <w:t>为了把今天的内容真正变成自己的能力，建议你在关掉视频之后立刻做一个小练习：打开正在写的选题，用三句话写清楚研究对象、核心变量和你最担心的偏误来源；接着把今天的方法逐项对照，判断它究竟能解决哪一种偏误、还留下什么边界。不要急着复制命令或套用结论。先把研究语言说准确，再把它翻译成数据处理和模型设定。这样做几次以后，你会发现方法不再是一串需要背诵的术语，而是一套帮助你提出问题、排除替代解释、组织证据的思考工具。</w:t>
      </w:r>
    </w:p>
    <w:p>
      <w:pPr>
        <w:keepLines/>
        <w:ind w:firstLine="403"/>
      </w:pPr>
      <w:r>
        <w:t>还有一个很重要的习惯：把每一次选择留下证据。为什么删掉这部分样本，为什么采用这个口径，为什么把标准误聚类在这一层，为什么认为某项制度变化能够提供识别，最好都在研究日志或代码注释中写下当时的理由。写论文真正困难的地方，常常不是今天能不能跑出一个结果，而是几周以后还能不能解释这个结果从哪里来、在什么条件下成立。能够经得起复查的分析，才有资格进入正文。</w:t>
      </w:r>
    </w:p>
    <w:p>
      <w:pPr>
        <w:keepLines/>
        <w:ind w:firstLine="403"/>
      </w:pPr>
      <w:r>
        <w:t>今天的内容就讲到这里。希望你下一次面对回归表、变量定义或方法选择时，先回到研究问题和比较逻辑，再决定使用什么工具。谢谢大家。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YaHe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ESG表现变量怎么选：评级、得分、分歧与数据匹配</dc:title>
  <dc:subject>经管类论文研究方法课程演讲稿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