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ind w:firstLine="403"/>
      </w:pPr>
      <w:r>
        <w:t>大家好，今天我们围绕《内生性问题诊断：工具变量、滞后项与固定效应不能混为一谈》把一个常被公式和术语包围的问题，讲成一套真正能用于研究设计和实证写作的判断方法。请先记住：方法不是为了把结果做得好看，而是为了让读者相信，你的结论确实来自所讨论的因果关系，而不是来自样本、口径或模型设定的偶然组合。</w:t>
      </w:r>
    </w:p>
    <w:p>
      <w:pPr>
        <w:keepLines/>
        <w:ind w:firstLine="403"/>
      </w:pPr>
      <w:r>
        <w:t>内生性不是一个为了写在论文里而必须出现的词，它描述的是解释变量和误差项相关。最常见的三类来源是遗漏变量、反向因果和样本自选择。比如经营好的企业更愿意数字化，这就是绩效反过来影响数字化；如果不处理，数字化系数就混入了原本就更优秀的企业特征。</w:t>
      </w:r>
    </w:p>
    <w:p>
      <w:pPr>
        <w:keepLines/>
        <w:ind w:firstLine="403"/>
      </w:pPr>
      <w:r>
        <w:t>诊断内生性的第一步，是画因果路径而不是立刻找工具变量。问自己：还有什么因素同时影响X和Y？Y会不会反过来影响X？样本进入研究对象的机制是否与结果有关？这些问题要放在制度背景和变量定义里回答。</w:t>
      </w:r>
    </w:p>
    <w:p>
      <w:pPr>
        <w:keepLines/>
        <w:ind w:firstLine="403"/>
      </w:pPr>
      <w:r>
        <w:t>固定效应能控制不随时间变化的遗漏因素；滞后解释变量可以弱化当期同时性，却无法保证没有动态反馈；工具变量必须同时满足相关性和排除限制。三者解决的是不同风险，不能互相替代。把滞后项写进回归不等于“彻底解决内生性”，把固定效应放进模型也不等于因果识别已经完成。</w:t>
      </w:r>
    </w:p>
    <w:p>
      <w:pPr>
        <w:keepLines/>
        <w:ind w:firstLine="403"/>
      </w:pPr>
      <w:r>
        <w:t>高质量论文会把处理策略与威胁一一对应：面对企业固有差异，使用个体固定效应；面对反向因果，寻找外部冲击或时间顺序证据；面对不可观测混杂，说明工具变量或准实验为何只通过X影响Y。若某个假设无法被完全检验，也应诚实说明边界。</w:t>
      </w:r>
    </w:p>
    <w:p>
      <w:pPr>
        <w:keepLines/>
        <w:ind w:firstLine="403"/>
      </w:pPr>
      <w:r>
        <w:t>研究的可信度不在于写了多少“内生性检验”，而在于读者是否能清楚看到：你知道偏误可能从哪里来，并且每一步都在针对那个具体来源采取行动。</w:t>
      </w:r>
    </w:p>
    <w:p>
      <w:pPr>
        <w:keepLines/>
        <w:ind w:firstLine="403"/>
      </w:pPr>
      <w:r>
        <w:t>为了把今天的内容真正变成自己的能力，建议你在关掉视频之后立刻做一个小练习：打开正在写的选题，用三句话写清楚研究对象、核心变量和你最担心的偏误来源；接着把今天的方法逐项对照，判断它究竟能解决哪一种偏误、还留下什么边界。不要急着复制命令或套用结论。先把研究语言说准确，再把它翻译成数据处理和模型设定。这样做几次以后，你会发现方法不再是一串需要背诵的术语，而是一套帮助你提出问题、排除替代解释、组织证据的思考工具。</w:t>
      </w:r>
    </w:p>
    <w:p>
      <w:pPr>
        <w:keepLines/>
        <w:ind w:firstLine="403"/>
      </w:pPr>
      <w:r>
        <w:t>还有一个很重要的习惯：把每一次选择留下证据。为什么删掉这部分样本，为什么采用这个口径，为什么把标准误聚类在这一层，为什么认为某项制度变化能够提供识别，最好都在研究日志或代码注释中写下当时的理由。写论文真正困难的地方，常常不是今天能不能跑出一个结果，而是几周以后还能不能解释这个结果从哪里来、在什么条件下成立。能够经得起复查的分析，才有资格进入正文。</w:t>
      </w:r>
    </w:p>
    <w:p>
      <w:pPr>
        <w:keepLines/>
        <w:ind w:firstLine="403"/>
      </w:pPr>
      <w:r>
        <w:t>今天的内容就讲到这里。希望你下一次面对回归表、变量定义或方法选择时，先回到研究问题和比较逻辑，再决定使用什么工具。谢谢大家。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内生性问题诊断：工具变量、滞后项与固定效应不能混为一谈</dc:title>
  <dc:subject>经管类论文研究方法课程演讲稿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