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中介效应与机制检验怎么做：三步回归、Bootstrap和常见误区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机制检验要回答的不是“多跑一个变量会不会显著”，而是X为什么会影响Y。以数字化提升绩效为例，机制可能是降低信息成本、改善资源配置或提高创新效率。机制变量M必须在理论上位于X和Y之间，并且在时间和逻辑上都说得通。</w:t>
      </w:r>
    </w:p>
    <w:p>
      <w:pPr>
        <w:keepLines/>
        <w:ind w:firstLine="403"/>
      </w:pPr>
      <w:r>
        <w:t>传统三步回归通常依次考察X对Y、X对M、以及X和M共同进入Y方程后的关系。它有教学价值，但不能被理解为自动证明因果链条，因为M本身也可能内生，也可能是Y的共同结果。Bootstrap可以帮助估计间接效应的不确定性，但它同样不能替代机制识别。</w:t>
      </w:r>
    </w:p>
    <w:p>
      <w:pPr>
        <w:keepLines/>
        <w:ind w:firstLine="403"/>
      </w:pPr>
      <w:r>
        <w:t>更稳妥的做法是先提出可证伪的机制预测：如果信息成本渠道成立，哪些变量应先变化，哪些群体的效应应更强，哪些替代解释应被排除。随后使用时间顺序、异质性、替代机制变量和制度证据形成证据链。</w:t>
      </w:r>
    </w:p>
    <w:p>
      <w:pPr>
        <w:keepLines/>
        <w:ind w:firstLine="403"/>
      </w:pPr>
      <w:r>
        <w:t>常见错误包括：把控制变量改名为中介变量；在政策后才测量的变量上做匹配；看到M显著就宣称“完全中介”；同时测试大量机制而不控制多重比较和理论边界。机制检验不是结果装饰，而是对理论叙事最严格的一次审问。</w:t>
      </w:r>
    </w:p>
    <w:p>
      <w:pPr>
        <w:keepLines/>
        <w:ind w:firstLine="403"/>
      </w:pPr>
      <w:r>
        <w:t>写作时不要夸大。可以说“结果与某机制一致，并得到若干补充证据支持”，而不是说“已经完全证明了唯一渠道”。这种克制反而更专业。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中介效应与机制检验怎么做：三步回归、Bootstrap和常见误区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