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固定效应模型怎么选：个体、时间与双向固定效应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先从一个最朴素的问题开始。假设我们研究企业数字化转型是否提高经营绩效。企业之间天生就不一样：管理风格、行业位置、创始人偏好，很多特征很难完整观测；年份之间也不一样：宏观周期、监管环境、融资条件会共同变化。如果这些差异同时影响数字化和绩效，简单回归就会把它们误当成数字化的效果。固定效应的作用，就是先把这些稳定或共同的背景噪声尽可能从比较中剥离出去。</w:t>
      </w:r>
    </w:p>
    <w:p>
      <w:pPr>
        <w:keepLines/>
        <w:ind w:firstLine="403"/>
      </w:pPr>
      <w:r>
        <w:t>个体固定效应回答的是：同一家企业在自身变化时，数字化变化是否伴随绩效变化。它控制了企业不随时间变化的特征。时间固定效应回答的是：在同一年所有企业共同面对的冲击已经被控制以后，企业之间的相对变化还有没有解释力。双向固定效应就是把这两层控制同时放进模型。它不是默认更高级，而是要与数据结构和识别担忧相匹配。</w:t>
      </w:r>
    </w:p>
    <w:p>
      <w:pPr>
        <w:keepLines/>
        <w:ind w:firstLine="403"/>
      </w:pPr>
      <w:r>
        <w:t>实操时，先画出你的观测单位和时间维度。企业年度面板通常要优先考虑企业固定效应和年份固定效应；城市年度面板则对应城市与年份固定效应。然后问三个问题：第一，核心解释变量在同一单位内部是否有足够变化；第二，哪些不可观测因素可能稳定存在；第三，是否存在共同的年度冲击。只有当这些问题的回答与固定效应设定相呼应时，模型才是在解决问题，而不是机械套模板。</w:t>
      </w:r>
    </w:p>
    <w:p>
      <w:pPr>
        <w:keepLines/>
        <w:ind w:firstLine="403"/>
      </w:pPr>
      <w:r>
        <w:t>一个常见误区是看到固定效应后系数不显著，就改成不加固定效应的模型。正确理解是：固定效应提高了比较的严格程度，系数变化恰恰提示原先的结果可能混入了个体差异。另一个误区是把行业、地区、年份哑变量与更高维固定效应混用，却不解释每一层控制了什么。论文里最有说服力的一句话，不是“本文控制了固定效应”，而是“本文利用同一企业在不同年份的变化进行比较，并控制企业不变特征和年度共同冲击”。</w:t>
      </w:r>
    </w:p>
    <w:p>
      <w:pPr>
        <w:keepLines/>
        <w:ind w:firstLine="403"/>
      </w:pPr>
      <w:r>
        <w:t>最后给大家一个可执行的顺序：先定义研究对象和时间；再列出潜在混杂因素；据此决定固定效应；然后报告核心变量的组内变化和标准误聚类层级；最后用经济含义解释系数。固定效应并不能自动解决反向因果和随时间变化的遗漏变量，但它能把研究从横截面的相关性，推进到更可信的组内比较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固定效应模型怎么选：个体、时间与双向固定效应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