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多期DID和平行趋势检验入门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很多真实政策不是在同一年覆盖所有地区，而是分批试点、逐步推广。这时就进入多期DID。它比单一政策时点更接近现实，也更容易出错，因为不同批次既可能有不同的处理时长，也可能把已经处理的样本错误地拿来当作后来处理样本的对照组。</w:t>
      </w:r>
    </w:p>
    <w:p>
      <w:pPr>
        <w:keepLines/>
        <w:ind w:firstLine="403"/>
      </w:pPr>
      <w:r>
        <w:t>传统双向固定效应回归会给不同组别、不同年份的比较自动加权。若处理效应随时间变化，或者早期试点和晚期试点差异很大，某些权重甚至会产生反直觉的比较。结果不是“算法错了”，而是研究者必须说明自己到底比较了谁和谁。</w:t>
      </w:r>
    </w:p>
    <w:p>
      <w:pPr>
        <w:keepLines/>
        <w:ind w:firstLine="403"/>
      </w:pPr>
      <w:r>
        <w:t>一个更稳妥的思路是按相对政策时点构造事件时间：政策前第两年、前一年、当年、政策后第一年、第二年。政策前的系数用来观察趋势，政策后的系数用来展示效应动态。对于分期实施，要优先使用以“尚未处理组”或“从未处理组”为对照的估计框架，并明确基准期。</w:t>
      </w:r>
    </w:p>
    <w:p>
      <w:pPr>
        <w:keepLines/>
        <w:ind w:firstLine="403"/>
      </w:pPr>
      <w:r>
        <w:t>看平行趋势图时，不要只盯着显著星号。先看政策前系数的方向是否系统性偏离零；再看区间宽度，区间很宽意味着证据不足而不是自动通过；最后结合制度时间线，确认企业或地方没有提前调整。若存在预期效应，可以把它作为研究发现讨论，也可能意味着传统政策时点需要重新界定。</w:t>
      </w:r>
    </w:p>
    <w:p>
      <w:pPr>
        <w:keepLines/>
        <w:ind w:firstLine="403"/>
      </w:pPr>
      <w:r>
        <w:t>多期DID最专业的表达，是让读者看到你的比较样本、相对时间、对照组构成和估计器选择。模型越复杂，越需要把设计说得更清楚，而不是把方法名写得更长。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多期DID和平行趋势检验入门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