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工具变量法怎么用：相关性、外生性与弱工具变量检验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工具变量法的直觉很简单：当核心解释变量X可能是内生的，我们寻找一个外部变量Z。Z能够推动X变化，但除了通过X以外，不会直接影响结果Y。于是我们只使用由Z带来的那部分X变化来识别效应。难点也在这里：找到一个相关又外生的Z，远比把两阶段回归跑出来困难。</w:t>
      </w:r>
    </w:p>
    <w:p>
      <w:pPr>
        <w:keepLines/>
        <w:ind w:firstLine="403"/>
      </w:pPr>
      <w:r>
        <w:t>第一阶段检验相关性。工具变量必须显著解释X，且不能过弱。弱工具变量会让第二阶段估计偏误很大、标准误不可靠，因此不能只报告系数和星号，要关注第一阶段统计量、识别强度检验和工具变量数量。</w:t>
      </w:r>
    </w:p>
    <w:p>
      <w:pPr>
        <w:keepLines/>
        <w:ind w:firstLine="403"/>
      </w:pPr>
      <w:r>
        <w:t>第二个、更关键的条件是外生性，也叫排除限制。你必须论证Z不会通过其他路径影响Y。例如用历史基础设施、地理条件或政策资格做工具时，要逐一讨论它是否可能直接影响企业绩效、地区创新或融资环境。一个看上去“很巧妙”的变量，不因名字是外生冲击就天然外生。</w:t>
      </w:r>
    </w:p>
    <w:p>
      <w:pPr>
        <w:keepLines/>
        <w:ind w:firstLine="403"/>
      </w:pPr>
      <w:r>
        <w:t>如果有多个工具变量，可以做过度识别检验，但检验不能替代经济学论证。统计检验告诉你数据有没有明显反对某个限制，不会证明限制必然成立。最有说服力的工具变量策略，通常来自清晰的制度机制、时间顺序和大量替代路径排除。</w:t>
      </w:r>
    </w:p>
    <w:p>
      <w:pPr>
        <w:keepLines/>
        <w:ind w:firstLine="403"/>
      </w:pPr>
      <w:r>
        <w:t>因此，做工具变量时请先写一页纸的因果图和制度说明，再写代码。把两阶段回归当作最后一步，而不是研究设计的第一步。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工具变量法怎么用：相关性、外生性与弱工具变量检验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