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ind w:firstLine="403"/>
      </w:pPr>
      <w:r>
        <w:t>大家好，今天我们围绕《DID适用条件、识别假设与常见误用》把一个常被公式和术语包围的问题，讲成一套真正能用于研究设计和实证写作的判断方法。请先记住：方法不是为了把结果做得好看，而是为了让读者相信，你的结论确实来自所讨论的因果关系，而不是来自样本、口径或模型设定的偶然组合。</w:t>
      </w:r>
    </w:p>
    <w:p>
      <w:pPr>
        <w:keepLines/>
        <w:ind w:firstLine="403"/>
      </w:pPr>
      <w:r>
        <w:t>DID，也就是双重差分，最吸引人的地方是它把问题变成两个差：处理组在政策前后变化了多少，对照组在同一时期变化了多少，再比较这两个变化之差。真正的关键不在公式，而在于对照组能否回答那个反事实问题：如果处理组没有受到政策，它本来会怎样变化。</w:t>
      </w:r>
    </w:p>
    <w:p>
      <w:pPr>
        <w:keepLines/>
        <w:ind w:firstLine="403"/>
      </w:pPr>
      <w:r>
        <w:t>因此，DID的第一步不是写回归，而是讲清楚政策、处理对象、发生时间和传导范围。处理组必须因为外部规则、门槛或时点差异而接受冲击；对照组必须在同一观察期内未受该冲击，且与处理组具有可比的变化环境。若政策同时影响所有样本，或者处理对象是企业主动自选的，DID就不能仅凭一个交互项取得因果解释。</w:t>
      </w:r>
    </w:p>
    <w:p>
      <w:pPr>
        <w:keepLines/>
        <w:ind w:firstLine="403"/>
      </w:pPr>
      <w:r>
        <w:t>平行趋势是核心识别假设。它不是要求两组在政策前水平相同，而是要求在没有政策时，两组的结果变量会沿着相近的趋势演进。事件研究图、政策前虚拟变量和制度背景共同构成证据。只看一张“政策前不显著”的图还不够：还要关注置信区间是否过宽、政策是否提前预期、以及样本期是否足够覆盖政策前趋势。</w:t>
      </w:r>
    </w:p>
    <w:p>
      <w:pPr>
        <w:keepLines/>
        <w:ind w:firstLine="403"/>
      </w:pPr>
      <w:r>
        <w:t>常见误用包括：把任何前后比较都称为DID；处理组和对照组划分来自结果变量本身；忽略同期其他政策；只报告主回归、不报告处理前动态。更隐蔽的问题是标准误。政策在城市层面实施，就不能只按企业层面聚类，否则会低估不确定性。聚类层级要和处理变量的相关结构对应。</w:t>
      </w:r>
    </w:p>
    <w:p>
      <w:pPr>
        <w:keepLines/>
        <w:ind w:firstLine="403"/>
      </w:pPr>
      <w:r>
        <w:t>写作时建议用四句话交代识别逻辑：政策改变了什么；谁先受影响；谁提供反事实；为什么两组在政策前具有可比趋势。DID不是一把万能钥匙，它的价值来自一个透明、可检验、可反驳的比较设计。</w:t>
      </w:r>
    </w:p>
    <w:p>
      <w:pPr>
        <w:keepLines/>
        <w:ind w:firstLine="403"/>
      </w:pPr>
      <w:r>
        <w:t>为了把今天的内容真正变成自己的能力，建议你在关掉视频之后立刻做一个小练习：打开正在写的选题，用三句话写清楚研究对象、核心变量和你最担心的偏误来源；接着把今天的方法逐项对照，判断它究竟能解决哪一种偏误、还留下什么边界。不要急着复制命令或套用结论。先把研究语言说准确，再把它翻译成数据处理和模型设定。这样做几次以后，你会发现方法不再是一串需要背诵的术语，而是一套帮助你提出问题、排除替代解释、组织证据的思考工具。</w:t>
      </w:r>
    </w:p>
    <w:p>
      <w:pPr>
        <w:keepLines/>
        <w:ind w:firstLine="403"/>
      </w:pPr>
      <w:r>
        <w:t>还有一个很重要的习惯：把每一次选择留下证据。为什么删掉这部分样本，为什么采用这个口径，为什么把标准误聚类在这一层，为什么认为某项制度变化能够提供识别，最好都在研究日志或代码注释中写下当时的理由。写论文真正困难的地方，常常不是今天能不能跑出一个结果，而是几周以后还能不能解释这个结果从哪里来、在什么条件下成立。能够经得起复查的分析，才有资格进入正文。</w:t>
      </w:r>
    </w:p>
    <w:p>
      <w:pPr>
        <w:keepLines/>
        <w:ind w:firstLine="403"/>
      </w:pPr>
      <w:r>
        <w:t>今天的内容就讲到这里。希望你下一次面对回归表、变量定义或方法选择时，先回到研究问题和比较逻辑，再决定使用什么工具。谢谢大家。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DID适用条件、识别假设与常见误用</dc:title>
  <dc:subject>经管类论文研究方法课程演讲稿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