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PSM-DID怎么做：适用条件、匹配变量与平衡性检验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PSM-DID经常被误解为“先匹配，再做DID，就一定解决了选择偏差”。其实它只是在可观测特征层面，先让处理组和对照组更可比；DID再处理随时间不变的不可观测差异。两者相加不是万能保险，而是两组不同假设的叠加。</w:t>
      </w:r>
    </w:p>
    <w:p>
      <w:pPr>
        <w:keepLines/>
        <w:ind w:firstLine="403"/>
      </w:pPr>
      <w:r>
        <w:t>第一步是决定匹配变量。它们应当发生在处理之前，并同时影响处理概率和结果变量，例如企业规模、年龄、盈利能力、资本结构、行业和地区特征。绝不能用政策发生后的变量匹配，因为那可能把政策已经产生的影响控制掉，形成“坏控制”。</w:t>
      </w:r>
    </w:p>
    <w:p>
      <w:pPr>
        <w:keepLines/>
        <w:ind w:firstLine="403"/>
      </w:pPr>
      <w:r>
        <w:t>匹配后必须做平衡性检验。你关心的不是匹配出了多少样本，而是处理组和对照组在协变量上的标准化差异是否明显缩小，分布是否有足够重叠。共同支撑区之外的样本，不能因为样本量可惜就强行保留。研究结论只适用于真正存在可比对象的区域。</w:t>
      </w:r>
    </w:p>
    <w:p>
      <w:pPr>
        <w:keepLines/>
        <w:ind w:firstLine="403"/>
      </w:pPr>
      <w:r>
        <w:t>然后再回到DID：检验政策前趋势、设定合适的固定效应和聚类标准误。若匹配后结果与原样本结果差异很大，这不是要掩盖的麻烦，反而提示原样本存在选择性差异，应当解释为什么识别样本更可信。</w:t>
      </w:r>
    </w:p>
    <w:p>
      <w:pPr>
        <w:keepLines/>
        <w:ind w:firstLine="403"/>
      </w:pPr>
      <w:r>
        <w:t>一句话概括：PSM负责让比较对象更像，DID负责比较它们的变化；前者不替代后者，后者也不能弥补前者完全没有共同支撑的问题。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PSM-DID怎么做：适用条件、匹配变量与平衡性检验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