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ind w:firstLine="403"/>
      </w:pPr>
      <w:r>
        <w:t>大家好，今天我们围绕《reghdfe安装、固定效应设置与聚类标准误》把一个常被公式和术语包围的问题，讲成一套真正能用于研究设计和实证写作的判断方法。请先记住：方法不是为了把结果做得好看，而是为了让读者相信，你的结论确实来自所讨论的因果关系，而不是来自样本、口径或模型设定的偶然组合。</w:t>
      </w:r>
    </w:p>
    <w:p>
      <w:pPr>
        <w:keepLines/>
        <w:ind w:firstLine="403"/>
      </w:pPr>
      <w:r>
        <w:t>reghdfe之所以常用，是因为它能够高效吸收多维固定效应，特别适合企业、年份、行业、地区等多层面板数据。但它不是一个让结果更可靠的魔法命令；它只是更方便地实现你已经想清楚的模型设定。</w:t>
      </w:r>
    </w:p>
    <w:p>
      <w:pPr>
        <w:keepLines/>
        <w:ind w:firstLine="403"/>
      </w:pPr>
      <w:r>
        <w:t>安装前先确认Stata版本和网络环境，并使用官方社区常见的安装来源。安装后不要只看命令能否运行，而要用一个小样本检查输出：被吸收的固定效应是什么，哪些变量因为共线性被省略，样本量是否符合预期。</w:t>
      </w:r>
    </w:p>
    <w:p>
      <w:pPr>
        <w:keepLines/>
        <w:ind w:firstLine="403"/>
      </w:pPr>
      <w:r>
        <w:t>设定固定效应时，先用研究语言说清楚，再翻译成命令。企业年度研究中吸收企业和年份固定效应，意味着比较同一企业跨年变化，并控制年度共同冲击；如果再加入行业×年份固定效应，则控制行业在不同年份的共同变化。维度越高，识别来自的剩余变化越少，必须确认核心变量仍有足够变异。</w:t>
      </w:r>
    </w:p>
    <w:p>
      <w:pPr>
        <w:keepLines/>
        <w:ind w:firstLine="403"/>
      </w:pPr>
      <w:r>
        <w:t>聚类标准误处理的是误差项在组内相关的问题。处理变量在城市层面变化，通常应至少在城市层面聚类；若样本中聚类数很少，常规显著性可能不可靠，还要考虑小样本修正或替代推断。不能因为企业数据很多，就自动按企业聚类。</w:t>
      </w:r>
    </w:p>
    <w:p>
      <w:pPr>
        <w:keepLines/>
        <w:ind w:firstLine="403"/>
      </w:pPr>
      <w:r>
        <w:t>最后养成核对输出的习惯：观察数为何减少、单例组如何处理、吸收了哪些维度、核心变量是否被省略、聚类层级是否符合政策变化层级。命令写对只是开始，模型含义写对才是完成。</w:t>
      </w:r>
    </w:p>
    <w:p>
      <w:pPr>
        <w:keepLines/>
        <w:ind w:firstLine="403"/>
      </w:pPr>
      <w:r>
        <w:t>为了把今天的内容真正变成自己的能力，建议你在关掉视频之后立刻做一个小练习：打开正在写的选题，用三句话写清楚研究对象、核心变量和你最担心的偏误来源；接着把今天的方法逐项对照，判断它究竟能解决哪一种偏误、还留下什么边界。不要急着复制命令或套用结论。先把研究语言说准确，再把它翻译成数据处理和模型设定。这样做几次以后，你会发现方法不再是一串需要背诵的术语，而是一套帮助你提出问题、排除替代解释、组织证据的思考工具。</w:t>
      </w:r>
    </w:p>
    <w:p>
      <w:pPr>
        <w:keepLines/>
        <w:ind w:firstLine="403"/>
      </w:pPr>
      <w:r>
        <w:t>还有一个很重要的习惯：把每一次选择留下证据。为什么删掉这部分样本，为什么采用这个口径，为什么把标准误聚类在这一层，为什么认为某项制度变化能够提供识别，最好都在研究日志或代码注释中写下当时的理由。写论文真正困难的地方，常常不是今天能不能跑出一个结果，而是几周以后还能不能解释这个结果从哪里来、在什么条件下成立。能够经得起复查的分析，才有资格进入正文。</w:t>
      </w:r>
    </w:p>
    <w:p>
      <w:pPr>
        <w:keepLines/>
        <w:ind w:firstLine="403"/>
      </w:pPr>
      <w:r>
        <w:t>今天的内容就讲到这里。希望你下一次面对回归表、变量定义或方法选择时，先回到研究问题和比较逻辑，再决定使用什么工具。谢谢大家。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reghdfe安装、固定效应设置与聚类标准误</dc:title>
  <dc:subject>经管类论文研究方法课程演讲稿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