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黑体" w:hAnsi="黑体" w:eastAsia="黑体"/>
          <w:b/>
          <w:i w:val="0"/>
          <w:color w:val="0C447C"/>
          <w:sz w:val="52"/>
        </w:rPr>
        <w:t>效果指标与口径切换方案</w:t>
      </w:r>
    </w:p>
    <w:p>
      <w:pPr>
        <w:spacing w:after="800"/>
        <w:jc w:val="center"/>
      </w:pPr>
      <w:r>
        <w:rPr>
          <w:rFonts w:ascii="宋体" w:hAnsi="宋体" w:eastAsia="宋体"/>
          <w:b/>
          <w:i w:val="0"/>
          <w:color w:val="185FA5"/>
          <w:sz w:val="26"/>
        </w:rPr>
        <w:t>——WorkBuddy 开放 Agent 生态 · 度量“生态被救活”的验收层——</w:t>
      </w:r>
    </w:p>
    <w:p>
      <w:pPr>
        <w:spacing w:after="1600"/>
        <w:jc w:val="center"/>
      </w:pPr>
      <w:r>
        <w:rPr>
          <w:rFonts w:ascii="宋体" w:hAnsi="宋体" w:eastAsia="宋体"/>
          <w:b w:val="0"/>
          <w:i/>
          <w:color w:val="5F5E5A"/>
          <w:sz w:val="24"/>
        </w:rPr>
        <w:t>同一套 KPI，在数据稀疏期与稳态期用不同的“口径”去操作化，确保既能早期诊断、又能成熟度量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项目</w:t>
            </w:r>
          </w:p>
        </w:tc>
        <w:tc>
          <w:tcPr>
            <w:tcW w:type="dxa" w:w="6520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文档名称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效果指标与口径切换方案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交付类型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任务要求产出物四：《效果指标与口径切换方案》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文档定位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方案（度量 / 验收层；含稀疏期↔稳态期口径切换计划）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上游输入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质量框架、P2 分发链路、P3 原型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版本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V1.1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日期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2026-09-09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编制方式</w:t>
            </w:r>
          </w:p>
        </w:tc>
        <w:tc>
          <w:tcPr>
            <w:tcW w:type="dxa" w:w="6520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AI 辅助（Claude Code）</w:t>
            </w:r>
          </w:p>
        </w:tc>
      </w:tr>
    </w:tbl>
    <w:p>
      <w:pPr>
        <w:spacing w:after="80"/>
      </w:pPr>
    </w:p>
    <w:p/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摘要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本方案回答“如何衡量这条路径上线后的效果”，并给出“数据稀疏期与稳态期之间的口径应如何切换”。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 xml:space="preserve">核心是两条原则：① </w:t>
      </w:r>
      <w:r>
        <w:rPr>
          <w:rFonts w:ascii="宋体" w:hAnsi="宋体" w:eastAsia="宋体"/>
          <w:b/>
          <w:i w:val="0"/>
          <w:color w:val="2C2C2A"/>
          <w:sz w:val="24"/>
        </w:rPr>
        <w:t>同一套 KPI，不许中途换命题</w:t>
      </w:r>
      <w:r>
        <w:rPr>
          <w:rFonts w:ascii="宋体" w:hAnsi="宋体" w:eastAsia="宋体"/>
          <w:b w:val="0"/>
          <w:i w:val="0"/>
          <w:color w:val="2C2C2A"/>
          <w:sz w:val="24"/>
        </w:rPr>
        <w:t xml:space="preserve">（北极星稳定，采用可解释加权而非裸乘积）；② </w:t>
      </w:r>
      <w:r>
        <w:rPr>
          <w:rFonts w:ascii="宋体" w:hAnsi="宋体" w:eastAsia="宋体"/>
          <w:b/>
          <w:i w:val="0"/>
          <w:color w:val="2C2C2A"/>
          <w:sz w:val="24"/>
        </w:rPr>
        <w:t>每个 KPI 的“操作化口径”随数据成熟度升级</w:t>
      </w:r>
      <w:r>
        <w:rPr>
          <w:rFonts w:ascii="宋体" w:hAnsi="宋体" w:eastAsia="宋体"/>
          <w:b w:val="0"/>
          <w:i w:val="0"/>
          <w:color w:val="2C2C2A"/>
          <w:sz w:val="24"/>
        </w:rPr>
        <w:t>（估计精度、稳健性、覆盖度逐步放开）。这样既能在稀疏期做</w:t>
      </w:r>
      <w:r>
        <w:rPr>
          <w:rFonts w:ascii="宋体" w:hAnsi="宋体" w:eastAsia="宋体"/>
          <w:b/>
          <w:i w:val="0"/>
          <w:color w:val="2C2C2A"/>
          <w:sz w:val="24"/>
        </w:rPr>
        <w:t>早期诊断</w:t>
      </w:r>
      <w:r>
        <w:rPr>
          <w:rFonts w:ascii="宋体" w:hAnsi="宋体" w:eastAsia="宋体"/>
          <w:b w:val="0"/>
          <w:i w:val="0"/>
          <w:color w:val="2C2C2A"/>
          <w:sz w:val="24"/>
        </w:rPr>
        <w:t>，又能在稳态期做</w:t>
      </w:r>
      <w:r>
        <w:rPr>
          <w:rFonts w:ascii="宋体" w:hAnsi="宋体" w:eastAsia="宋体"/>
          <w:b/>
          <w:i w:val="0"/>
          <w:color w:val="2C2C2A"/>
          <w:sz w:val="24"/>
        </w:rPr>
        <w:t>成熟度量</w:t>
      </w:r>
      <w:r>
        <w:rPr>
          <w:rFonts w:ascii="宋体" w:hAnsi="宋体" w:eastAsia="宋体"/>
          <w:b w:val="0"/>
          <w:i w:val="0"/>
          <w:color w:val="2C2C2A"/>
          <w:sz w:val="24"/>
        </w:rPr>
        <w:t>，且两段之间无缝衔接、可回看。</w:t>
      </w:r>
    </w:p>
    <w:p>
      <w:pPr>
        <w:spacing w:before="160" w:after="160" w:line="360" w:lineRule="auto"/>
        <w:ind w:left="240" w:right="240"/>
        <w:pBdr>
          <w:left w:val="single" w:sz="12" w:space="8" w:color="534AB7"/>
        </w:pBdr>
      </w:pPr>
      <w:r>
        <w:rPr>
          <w:rFonts w:ascii="宋体" w:hAnsi="宋体" w:eastAsia="宋体"/>
          <w:b/>
          <w:i w:val="0"/>
          <w:color w:val="639922"/>
          <w:sz w:val="24"/>
        </w:rPr>
        <w:t>北极星指标（不切换、可解释加权）：生态健康度 = 0.30·长尾命中率 + 0.20·结构多样性(1−Gini) + 0.30·匹配采纳率 + 0.20·质量校准度。四项子指标各自先归一化到 0~1 后再加权，每一份都能单独检查，避免黑盒乘积把单一异常淹没；它锚定“救活长尾、生态优胜劣汰”这一题眼，跨口径恒定。</w:t>
      </w:r>
    </w:p>
    <w:p>
      <w:r>
        <w:br w:type="page"/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一、指标设计总览（金字塔）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层级</w:t>
            </w:r>
          </w:p>
        </w:tc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角色</w:t>
            </w:r>
          </w:p>
        </w:tc>
        <w:tc>
          <w:tcPr>
            <w:tcW w:type="dxa" w:w="4309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代表指标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北极星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衡量生态是否变健康（全局、不切换、可解释加权）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生态健康度 = 0.30·长尾命中 + 0.20·(1−Gini) + 0.30·采纳 + 0.20·校准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效果指标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度量链路是否有效（主验收）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长尾命中率、长尾曝光覆盖率、匹配采纳率、搜索回归率、头部份额、质量分校准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过程 / 诊断指标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定位问题在哪（可拆解）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探索增量、三次未命中率、上下文失败率、创作者留存、激励公平感知</w:t>
            </w:r>
          </w:p>
        </w:tc>
      </w:tr>
      <w:tr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护栏指标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防副作用（防止杀鸡取卵）</w:t>
            </w:r>
          </w:p>
        </w:tc>
        <w:tc>
          <w:tcPr>
            <w:tcW w:type="dxa" w:w="430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用户满意度、头部体验、探索成本、人工干预率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1.1 指标选择依据（为什么挑这些）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指标必须直接回映</w:t>
      </w:r>
      <w:r>
        <w:rPr>
          <w:rFonts w:ascii="宋体" w:hAnsi="宋体" w:eastAsia="宋体"/>
          <w:b/>
          <w:i w:val="0"/>
          <w:color w:val="2C2C2A"/>
          <w:sz w:val="24"/>
        </w:rPr>
        <w:t>背景里的两个数字</w:t>
      </w:r>
      <w:r>
        <w:rPr>
          <w:rFonts w:ascii="宋体" w:hAnsi="宋体" w:eastAsia="宋体"/>
          <w:b w:val="0"/>
          <w:i w:val="0"/>
          <w:color w:val="2C2C2A"/>
          <w:sz w:val="24"/>
        </w:rPr>
        <w:t>与</w:t>
      </w:r>
      <w:r>
        <w:rPr>
          <w:rFonts w:ascii="宋体" w:hAnsi="宋体" w:eastAsia="宋体"/>
          <w:b/>
          <w:i w:val="0"/>
          <w:color w:val="2C2C2A"/>
          <w:sz w:val="24"/>
        </w:rPr>
        <w:t>反马太命题</w:t>
      </w:r>
      <w:r>
        <w:rPr>
          <w:rFonts w:ascii="宋体" w:hAnsi="宋体" w:eastAsia="宋体"/>
          <w:b w:val="0"/>
          <w:i w:val="0"/>
          <w:color w:val="2C2C2A"/>
          <w:sz w:val="24"/>
        </w:rPr>
        <w:t>：“8% 创作者两周超 100 次调用”与“三次未命中即放弃”。因此设“长尾覆盖率”衡量前者，设“三次未命中率 + 搜索回归率”衡量后者；设“头部份额与多样性”直接度量马太效应是否被抑制；设“质量分校准”证明“这张分可信”；设护栏指标防止过度探索伤体验。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二、指标体系明细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38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351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定义</w:t>
            </w:r>
          </w:p>
        </w:tc>
        <w:tc>
          <w:tcPr>
            <w:tcW w:type="dxa" w:w="7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方向</w:t>
            </w:r>
          </w:p>
        </w:tc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稀疏期可否用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长尾命中率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在长尾需求中，最终被非头部资产命中的占比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↑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✓（点估计+置信区间）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长尾曝光覆盖率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长尾资产在“被看见”资产中的占比；稳态口径=近两周 &gt;100 次调用的资产里长尾占比（对应“8%”）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↑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△（稀疏期用“长尾被触达≥1次”做分母代理）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生态多样性（Gini / 熵）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各资产调用量分布的不均度；Gini 越低越均衡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↓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△（样本不足需分层）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匹配采纳率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自然语言路径下，用户接受推荐（继续使用）的比例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↑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三次未命中率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 3 次匹配未获采纳后被放弃的需求占比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↓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搜索回归率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命中失败后回到关键词检索路径的需求占比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↓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头部资产平均份额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Top-K 资产占全部分发次数的比重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↓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✓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质量分校准度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质量分与真实结果（采纳/满意度）的一致性（如 AUC / 分桶校准）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↑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△（标准答案需金标准）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单次成功 token 消耗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每个成功任务的 token 成本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↓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</w:t>
            </w:r>
          </w:p>
        </w:tc>
      </w:tr>
      <w:tr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创作者留存 / 激励公平感知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创作者续投比例、对“是否公平”的主观反馈</w:t>
            </w:r>
          </w:p>
        </w:tc>
        <w:tc>
          <w:tcPr>
            <w:tcW w:type="dxa" w:w="7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↑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△</w:t>
            </w:r>
          </w:p>
        </w:tc>
      </w:tr>
    </w:tbl>
    <w:p>
      <w:pPr>
        <w:spacing w:after="80"/>
      </w:pP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三、稀疏期 ↔ 稳态期的口径切换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3.1 两期的本质差异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维度</w:t>
            </w:r>
          </w:p>
        </w:tc>
        <w:tc>
          <w:tcPr>
            <w:tcW w:type="dxa" w:w="36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稀疏期</w:t>
            </w:r>
          </w:p>
        </w:tc>
        <w:tc>
          <w:tcPr>
            <w:tcW w:type="dxa" w:w="36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稳态期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样本量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每个需求簇 / 资产样本少，噪声大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数量充足，可支撑群体级统计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可信信号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依赖内容信号 + 金标准代理；行为数据不足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可依赖行为验证；质量分已收敛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可见的资产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多为头部 + 少量探索池长尾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长尾参与度显著提升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统计推断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点估计 + 置信区间，易受极端值影响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均值 / 分位 / 群组（cohort）分析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实验规模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探索池小流量对照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可支撑大规模 A/B / 因果评估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3.2 口径切换原则（同一 KPI，升级操作化）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181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KPI</w:t>
            </w:r>
          </w:p>
        </w:tc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稀疏期口径</w:t>
            </w:r>
          </w:p>
        </w:tc>
        <w:tc>
          <w:tcPr>
            <w:tcW w:type="dxa" w:w="249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稳态期口径</w:t>
            </w:r>
          </w:p>
        </w:tc>
        <w:tc>
          <w:tcPr>
            <w:tcW w:type="dxa" w:w="272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为何如此切换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长尾命中率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小窗口点估计（+bootstrap CI），按需求簇分层上报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群体均值 + 分位；按时间窗口归并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稀疏期用置信区间避免误判；成熟后用均值反映总体水平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长尾曝光覆盖率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代理口径：“长尾资产获得 ≥1 次曝光 / 命中”的占比（分母为全部可见长尾）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近两周 &gt;100 次调用的资产中长尾占比（对应“8%”）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稀疏期“&gt;100 次调用”这个栏位填不满分母，故先用“有被触达”作代理“有没有被看见”的方向；成熟后再升级为“规模化使用”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多样性 Gini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基于内容先验与探索池的“预期均衡度”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基于真实调用分布的 Gini / 熵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稀疏期调不出真实分布，改用代理；成熟期用真分布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质量分校准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用金标准评测集（人工锚点）对齐，LLM-judge 辅助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用真实采纳 / 满意度做校准（AUC / 分桶）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前期无足量真实结果，须用独立金标准；后期用行为结果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三次未命中率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计数口径 + 大置信区间，谨慎下结论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连续监测 + 子群拆解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样本少时只判断方向，不精读数值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3.3 切换的触发条件（何时换口径 —— 量化、可判据）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170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触发条件</w:t>
            </w:r>
          </w:p>
        </w:tc>
        <w:tc>
          <w:tcPr>
            <w:tcW w:type="dxa" w:w="351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量化阈值</w:t>
            </w:r>
          </w:p>
        </w:tc>
        <w:tc>
          <w:tcPr>
            <w:tcW w:type="dxa" w:w="385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判据意义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样本量达标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≥80% 需求簇各累积 ≥30 次命中样本，且单簇最小 ≥10 次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簇级估计方差收敛，可做群组统计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指标收敛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质量分校准度（金标准 AUC / 人工锚点一致率）连续 3 个统计窗漂移 ≤±0.02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由内容先验主导转为行为验证主导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对照成立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至少 2 组独立对照（长尾探索组 vs 头部对照组），每组样本量 ≥200 次分发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可做双群对照，支撑因果判断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稳定期确认</w:t>
            </w:r>
          </w:p>
        </w:tc>
        <w:tc>
          <w:tcPr>
            <w:tcW w:type="dxa" w:w="351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稳态 KPI 连续 4 个统计周期落在置信区间内、方向无锯齿波动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不受抽样与短期扰动干扰</w:t>
            </w:r>
          </w:p>
        </w:tc>
      </w:tr>
    </w:tbl>
    <w:p>
      <w:pPr>
        <w:spacing w:after="80"/>
      </w:pP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四条件需</w:t>
      </w:r>
      <w:r>
        <w:rPr>
          <w:rFonts w:ascii="宋体" w:hAnsi="宋体" w:eastAsia="宋体"/>
          <w:b/>
          <w:i w:val="0"/>
          <w:color w:val="2C2C2A"/>
          <w:sz w:val="24"/>
        </w:rPr>
        <w:t>联合满足</w:t>
      </w:r>
      <w:r>
        <w:rPr>
          <w:rFonts w:ascii="宋体" w:hAnsi="宋体" w:eastAsia="宋体"/>
          <w:b w:val="0"/>
          <w:i w:val="0"/>
          <w:color w:val="2C2C2A"/>
          <w:sz w:val="24"/>
        </w:rPr>
        <w:t>方可切换；任一不满足则维持稀疏期口径，并冻结其为“影子指标”并行观察。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3.4 切换流程、过渡期混合口径与归因保护（DID）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过渡期采用混合口径</w:t>
      </w:r>
      <w:r>
        <w:rPr>
          <w:rFonts w:ascii="宋体" w:hAnsi="宋体" w:eastAsia="宋体"/>
          <w:b w:val="0"/>
          <w:i w:val="0"/>
          <w:color w:val="2C2C2A"/>
          <w:sz w:val="24"/>
        </w:rPr>
        <w:t xml:space="preserve">：新口径主报，旧口径以“影子指标”连续保留 </w:t>
      </w:r>
      <w:r>
        <w:rPr>
          <w:rFonts w:ascii="宋体" w:hAnsi="宋体" w:eastAsia="宋体"/>
          <w:b/>
          <w:i w:val="0"/>
          <w:color w:val="2C2C2A"/>
          <w:sz w:val="24"/>
        </w:rPr>
        <w:t>N=4 个统计周期</w:t>
      </w:r>
      <w:r>
        <w:rPr>
          <w:rFonts w:ascii="宋体" w:hAnsi="宋体" w:eastAsia="宋体"/>
          <w:b w:val="0"/>
          <w:i w:val="0"/>
          <w:color w:val="2C2C2A"/>
          <w:sz w:val="24"/>
        </w:rPr>
        <w:t>并行对照；仅当两个口径</w:t>
      </w:r>
      <w:r>
        <w:rPr>
          <w:rFonts w:ascii="宋体" w:hAnsi="宋体" w:eastAsia="宋体"/>
          <w:b/>
          <w:i w:val="0"/>
          <w:color w:val="2C2C2A"/>
          <w:sz w:val="24"/>
        </w:rPr>
        <w:t>结论方向一致</w:t>
      </w:r>
      <w:r>
        <w:rPr>
          <w:rFonts w:ascii="宋体" w:hAnsi="宋体" w:eastAsia="宋体"/>
          <w:b w:val="0"/>
          <w:i w:val="0"/>
          <w:color w:val="2C2C2A"/>
          <w:sz w:val="24"/>
        </w:rPr>
        <w:t>、且差异收敛到阈值内（≤±0.02），才正式退役旧口径。切换不是“一夜全换”，而是“双口径并行 → 收敛 → 退役”的渐进过程。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切换流程</w:t>
      </w:r>
      <w:r>
        <w:rPr>
          <w:rFonts w:ascii="宋体" w:hAnsi="宋体" w:eastAsia="宋体"/>
          <w:b w:val="0"/>
          <w:i w:val="0"/>
          <w:color w:val="2C2C2A"/>
          <w:sz w:val="24"/>
        </w:rPr>
        <w:t>：① 冻结旧口径为影子指标并行观察 → ② 小流量灰度切换至新口径 → ③ 对齐新旧口径的基线与趋势 → ④ 确认收敛后退役旧口径。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/>
          <w:i w:val="0"/>
          <w:color w:val="2C2C2A"/>
          <w:sz w:val="24"/>
        </w:rPr>
        <w:t>归因保护（DID 双重差分）</w:t>
      </w:r>
      <w:r>
        <w:rPr>
          <w:rFonts w:ascii="宋体" w:hAnsi="宋体" w:eastAsia="宋体"/>
          <w:b w:val="0"/>
          <w:i w:val="0"/>
          <w:color w:val="2C2C2A"/>
          <w:sz w:val="24"/>
        </w:rPr>
        <w:t>：任何效果判断先剔除混杂。以“未受策略干预的簇 / 资产”作对照组（Counterfactual），“策略净效应 =（处理组 Δ 长尾覆盖率 / 命中率）−（对照组 Δ）”；上线前绘制两组多期预趋势线校验</w:t>
      </w:r>
      <w:r>
        <w:rPr>
          <w:rFonts w:ascii="宋体" w:hAnsi="宋体" w:eastAsia="宋体"/>
          <w:b/>
          <w:i w:val="0"/>
          <w:color w:val="2C2C2A"/>
          <w:sz w:val="24"/>
        </w:rPr>
        <w:t>平行趋势前提</w:t>
      </w:r>
      <w:r>
        <w:rPr>
          <w:rFonts w:ascii="宋体" w:hAnsi="宋体" w:eastAsia="宋体"/>
          <w:b w:val="0"/>
          <w:i w:val="0"/>
          <w:color w:val="2C2C2A"/>
          <w:sz w:val="24"/>
        </w:rPr>
        <w:t>；同时用</w:t>
      </w:r>
      <w:r>
        <w:rPr>
          <w:rFonts w:ascii="宋体" w:hAnsi="宋体" w:eastAsia="宋体"/>
          <w:b/>
          <w:i w:val="0"/>
          <w:color w:val="2C2C2A"/>
          <w:sz w:val="24"/>
        </w:rPr>
        <w:t>影子指标</w:t>
      </w:r>
      <w:r>
        <w:rPr>
          <w:rFonts w:ascii="宋体" w:hAnsi="宋体" w:eastAsia="宋体"/>
          <w:b w:val="0"/>
          <w:i w:val="0"/>
          <w:color w:val="2C2C2A"/>
          <w:sz w:val="24"/>
        </w:rPr>
        <w:t>排除口径切换、用</w:t>
      </w:r>
      <w:r>
        <w:rPr>
          <w:rFonts w:ascii="宋体" w:hAnsi="宋体" w:eastAsia="宋体"/>
          <w:b/>
          <w:i w:val="0"/>
          <w:color w:val="2C2C2A"/>
          <w:sz w:val="24"/>
        </w:rPr>
        <w:t>同期无策略窗口</w:t>
      </w:r>
      <w:r>
        <w:rPr>
          <w:rFonts w:ascii="宋体" w:hAnsi="宋体" w:eastAsia="宋体"/>
          <w:b w:val="0"/>
          <w:i w:val="0"/>
          <w:color w:val="2C2C2A"/>
          <w:sz w:val="24"/>
        </w:rPr>
        <w:t>排除季节性与抽样波动。三者配合，才能把“成效”从“口径 / 波动”里剥离出来。</w:t>
      </w: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3.5 验收阈值表（基线 → 目标 Δ，12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基线（上线前，≈现状）</w:t>
            </w:r>
          </w:p>
        </w:tc>
        <w:tc>
          <w:tcPr>
            <w:tcW w:type="dxa" w:w="2041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目标（After 12 周）</w:t>
            </w:r>
          </w:p>
        </w:tc>
        <w:tc>
          <w:tcPr>
            <w:tcW w:type="dxa" w:w="19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Δ 验收线</w:t>
            </w:r>
          </w:p>
        </w:tc>
        <w:tc>
          <w:tcPr>
            <w:tcW w:type="dxa" w:w="2154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参考背景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长尾曝光覆盖率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8%（对应“8% 创作者 &gt;100 次调用”）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≥25%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+17pp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反 8% 死锁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匹配采纳率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≈50%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≥65%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+15pp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反“三次未命中即放弃”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搜索回归率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≈45%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≤35%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−10pp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用户兜底体验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生态多样性 Gini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≈0.62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≤0.50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−0.05（Gini 降）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马太被抑制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顶部资产份额（前5%资产占分发）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≈82%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≤72%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−10pp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头部虹吸被拆解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质量分校准度（人工锚点 AUC）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≈0.72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≥0.85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+0.13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平台采信前提（P1 7.0）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探索池长尾命中率 vs 对照</w:t>
            </w:r>
          </w:p>
        </w:tc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≈持平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领先 ≥5pp 且 p&lt;0.05</w:t>
            </w:r>
          </w:p>
        </w:tc>
        <w:tc>
          <w:tcPr>
            <w:tcW w:type="dxa" w:w="19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Δ ≥ +5pp（显著）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长尾真的能干活</w:t>
            </w:r>
          </w:p>
        </w:tc>
      </w:tr>
    </w:tbl>
    <w:p>
      <w:pPr>
        <w:spacing w:after="80"/>
      </w:pP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以上为示范性验收线（示意量级，非实测），为的是把“题目背景里的两个数字”与“反马太命题”转成</w:t>
      </w:r>
      <w:r>
        <w:rPr>
          <w:rFonts w:ascii="宋体" w:hAnsi="宋体" w:eastAsia="宋体"/>
          <w:b/>
          <w:i w:val="0"/>
          <w:color w:val="2C2C2A"/>
          <w:sz w:val="24"/>
        </w:rPr>
        <w:t>可判据、可结算</w:t>
      </w:r>
      <w:r>
        <w:rPr>
          <w:rFonts w:ascii="宋体" w:hAnsi="宋体" w:eastAsia="宋体"/>
          <w:b w:val="0"/>
          <w:i w:val="0"/>
          <w:color w:val="2C2C2A"/>
          <w:sz w:val="24"/>
        </w:rPr>
        <w:t>的验收线；上线前应以 P1 金标准与小流量试点重新标定基线与目标。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四、指标与生态各环节 / 加分项的对应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60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2835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回映什么</w:t>
            </w:r>
          </w:p>
        </w:tc>
        <w:tc>
          <w:tcPr>
            <w:tcW w:type="dxa" w:w="3628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对应环节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长尾曝光覆盖率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反马太是否生效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P2 探索/利用 + P1 稀缺豁免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质量分校准度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平台是否可采信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金标准 + 五支柱采信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三次未命中率 / 搜索回归率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用户体验与需求覆盖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P2 反馈闭环 ⑨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多样性 / 头部份额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生态是否更均衡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加分项（马太抑制）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单次成功 token 消耗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成本效率是否改善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P1 成本效率维度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4.1 为加分项预留的“作用信号”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马太抑制策略的“是否起作用”将落到以下可观测信号：探索池长尾资产的“命中 / 续用率”显著高于对照；生态多样性 Gini 下降；头部资产平均曝光份额下降；长尾曝光覆盖率上升；且</w:t>
      </w:r>
      <w:r>
        <w:rPr>
          <w:rFonts w:ascii="宋体" w:hAnsi="宋体" w:eastAsia="宋体"/>
          <w:b/>
          <w:i w:val="0"/>
          <w:color w:val="2C2C2A"/>
          <w:sz w:val="24"/>
        </w:rPr>
        <w:t>护栏指标（满意度 / 头部体验）不退化</w:t>
      </w:r>
      <w:r>
        <w:rPr>
          <w:rFonts w:ascii="宋体" w:hAnsi="宋体" w:eastAsia="宋体"/>
          <w:b w:val="0"/>
          <w:i w:val="0"/>
          <w:color w:val="2C2C2A"/>
          <w:sz w:val="24"/>
        </w:rPr>
        <w:t>。这组信号既用于评估，也用于后续动态调节探索力度。</w:t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五、风险与护栏（防指标劫持）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082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风险</w:t>
            </w:r>
          </w:p>
        </w:tc>
        <w:tc>
          <w:tcPr>
            <w:tcW w:type="dxa" w:w="4989"/>
            <w:shd w:fill="185F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i w:val="0"/>
                <w:color w:val="FFFFFF"/>
                <w:sz w:val="21"/>
              </w:rPr>
              <w:t>护栏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Goodhart：指标被优化而本质未变（如只刷长尾命中率）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以健康度北极星 + 多指标联合判断，避免单一指标驱动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口径切换被误判为策略成效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影子指标并行 + 灰度切换 + DID 归因保护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探索过度伤体验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护栏指标（满意度 / 头部体验 / 探索成本）设红线，越线即回调 β 与预算</w:t>
            </w:r>
          </w:p>
        </w:tc>
      </w:tr>
      <w:tr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稀疏期样本噪声导致误采</w:t>
            </w:r>
          </w:p>
        </w:tc>
        <w:tc>
          <w:tcPr>
            <w:tcW w:type="dxa" w:w="4989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i w:val="0"/>
                <w:color w:val="2C2C2A"/>
                <w:sz w:val="21"/>
              </w:rPr>
              <w:t>只用方向判断 + 置信区间，不用弱势样本做激进决策</w:t>
            </w:r>
          </w:p>
        </w:tc>
      </w:tr>
    </w:tbl>
    <w:p>
      <w:pPr>
        <w:spacing w:after="80"/>
      </w:pPr>
    </w:p>
    <w:p>
      <w:pPr>
        <w:keepNext/>
        <w:spacing w:before="240" w:after="120" w:line="360" w:lineRule="auto"/>
      </w:pPr>
      <w:r>
        <w:rPr>
          <w:rFonts w:ascii="黑体" w:hAnsi="黑体" w:eastAsia="黑体"/>
          <w:b/>
          <w:i w:val="0"/>
          <w:color w:val="185FA5"/>
          <w:sz w:val="30"/>
        </w:rPr>
        <w:t>5.1 指标冲突裁决协议（护栏 &gt; 效果 &gt; 过程）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当指标互相矛盾时，按下述优先级裁决（安全优先）：</w:t>
      </w:r>
      <w:r>
        <w:rPr>
          <w:rFonts w:ascii="宋体" w:hAnsi="宋体" w:eastAsia="宋体"/>
          <w:b/>
          <w:i w:val="0"/>
          <w:color w:val="2C2C2A"/>
          <w:sz w:val="24"/>
        </w:rPr>
        <w:t>护栏 &gt; 效果 &gt; 过程诊断</w:t>
      </w:r>
      <w:r>
        <w:rPr>
          <w:rFonts w:ascii="宋体" w:hAnsi="宋体" w:eastAsia="宋体"/>
          <w:b w:val="0"/>
          <w:i w:val="0"/>
          <w:color w:val="2C2C2A"/>
          <w:sz w:val="24"/>
        </w:rPr>
        <w:t>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护栏一票否决：</w:t>
      </w:r>
      <w:r>
        <w:rPr>
          <w:rFonts w:ascii="宋体" w:hAnsi="宋体" w:eastAsia="宋体"/>
          <w:b w:val="0"/>
          <w:i w:val="0"/>
          <w:color w:val="2C2C2A"/>
          <w:sz w:val="24"/>
        </w:rPr>
        <w:t>任一护栏指标（满意度 / 头部体验 / 探索成本 / 人工干预率）越其红线，</w:t>
      </w:r>
      <w:r>
        <w:rPr>
          <w:rFonts w:ascii="宋体" w:hAnsi="宋体" w:eastAsia="宋体"/>
          <w:b/>
          <w:i w:val="0"/>
          <w:color w:val="2C2C2A"/>
          <w:sz w:val="24"/>
        </w:rPr>
        <w:t>无论北极星 / 效果指标多好，一律先行冻结或回滚</w:t>
      </w:r>
      <w:r>
        <w:rPr>
          <w:rFonts w:ascii="宋体" w:hAnsi="宋体" w:eastAsia="宋体"/>
          <w:b w:val="0"/>
          <w:i w:val="0"/>
          <w:color w:val="2C2C2A"/>
          <w:sz w:val="24"/>
        </w:rPr>
        <w:t>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效果高于诊断：</w:t>
      </w:r>
      <w:r>
        <w:rPr>
          <w:rFonts w:ascii="宋体" w:hAnsi="宋体" w:eastAsia="宋体"/>
          <w:b w:val="0"/>
          <w:i w:val="0"/>
          <w:color w:val="2C2C2A"/>
          <w:sz w:val="24"/>
        </w:rPr>
        <w:t>效果与过程诊断相矛盾时，以</w:t>
      </w:r>
      <w:r>
        <w:rPr>
          <w:rFonts w:ascii="宋体" w:hAnsi="宋体" w:eastAsia="宋体"/>
          <w:b/>
          <w:i w:val="0"/>
          <w:color w:val="2C2C2A"/>
          <w:sz w:val="24"/>
        </w:rPr>
        <w:t>效果指标为准</w:t>
      </w:r>
      <w:r>
        <w:rPr>
          <w:rFonts w:ascii="宋体" w:hAnsi="宋体" w:eastAsia="宋体"/>
          <w:b w:val="0"/>
          <w:i w:val="0"/>
          <w:color w:val="2C2C2A"/>
          <w:sz w:val="24"/>
        </w:rPr>
        <w:t>，过程指标仅用于把问题定位到具体阶段（质量 / 语义 / 探索力度），不据此单独下结论。</w:t>
      </w:r>
    </w:p>
    <w:p>
      <w:pPr>
        <w:spacing w:before="40" w:after="40" w:line="360" w:lineRule="auto"/>
        <w:ind w:left="480"/>
      </w:pPr>
      <w:r>
        <w:rPr>
          <w:rFonts w:ascii="宋体" w:hAnsi="宋体" w:eastAsia="宋体"/>
          <w:b/>
          <w:i w:val="0"/>
          <w:color w:val="185FA5"/>
          <w:sz w:val="24"/>
        </w:rPr>
        <w:t>• 长尾 vs 采纳：</w:t>
      </w:r>
      <w:r>
        <w:rPr>
          <w:rFonts w:ascii="宋体" w:hAnsi="宋体" w:eastAsia="宋体"/>
          <w:b w:val="0"/>
          <w:i w:val="0"/>
          <w:color w:val="2C2C2A"/>
          <w:sz w:val="24"/>
        </w:rPr>
        <w:t>效果内部矛盾（如长尾覆盖率升、但采纳率降）走“护栏 + 效果联合”：判定为“探索过度”，回调 β 与探索预算，而非放任单一指标。</w:t>
      </w:r>
    </w:p>
    <w:p>
      <w:r>
        <w:br w:type="page"/>
      </w:r>
    </w:p>
    <w:p>
      <w:pPr>
        <w:keepNext/>
        <w:spacing w:before="320" w:after="240" w:line="360" w:lineRule="auto"/>
        <w:jc w:val="center"/>
      </w:pPr>
      <w:r>
        <w:rPr>
          <w:rFonts w:ascii="黑体" w:hAnsi="黑体" w:eastAsia="黑体"/>
          <w:b/>
          <w:i w:val="0"/>
          <w:color w:val="0C447C"/>
          <w:sz w:val="36"/>
        </w:rPr>
        <w:t>六、结论</w:t>
      </w:r>
    </w:p>
    <w:p>
      <w:pPr>
        <w:spacing w:before="120" w:after="120" w:line="360" w:lineRule="auto"/>
        <w:ind w:firstLine="480"/>
        <w:jc w:val="both"/>
      </w:pPr>
      <w:r>
        <w:rPr>
          <w:rFonts w:ascii="宋体" w:hAnsi="宋体" w:eastAsia="宋体"/>
          <w:b w:val="0"/>
          <w:i w:val="0"/>
          <w:color w:val="2C2C2A"/>
          <w:sz w:val="24"/>
        </w:rPr>
        <w:t>本方案以“可解释加权”的生态健康度为不切换的北极星，用长尾命中率、生态多样性、质量分校准度等指标度量“生态被救活”；并以“同一 KPI、逐步升级操作化口径”的方式，实现稀疏期（点估计+置信区间+金标准代理）到稳态期（均值/分位/行为验证）的平滑切换，通过影子指标、过渡期混合口径、DID 归因保护避免“把口径当成成效”。它为加分项预留了“作用信号”，并设“护栏 &gt; 效果 &gt; 过程”的冲突裁决协议防止指标劫持。</w:t>
      </w:r>
    </w:p>
    <w:sectPr w:rsidR="00FC693F" w:rsidRPr="0006063C" w:rsidSect="00034616">
      <w:footerReference w:type="default" r:id="rId9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F5E5A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2C2C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