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80"/>
        <w:jc w:val="center"/>
      </w:pPr>
      <w:r>
        <w:rPr>
          <w:rFonts w:ascii="黑体" w:hAnsi="黑体" w:eastAsia="黑体"/>
          <w:b/>
          <w:i w:val="0"/>
          <w:color w:val="0C447C"/>
          <w:sz w:val="52"/>
        </w:rPr>
        <w:t>用户需求 → Agent 分发链路设计</w:t>
      </w:r>
    </w:p>
    <w:p>
      <w:pPr>
        <w:spacing w:after="800"/>
        <w:jc w:val="center"/>
      </w:pPr>
      <w:r>
        <w:rPr>
          <w:rFonts w:ascii="宋体" w:hAnsi="宋体" w:eastAsia="宋体"/>
          <w:b/>
          <w:i w:val="0"/>
          <w:color w:val="185FA5"/>
          <w:sz w:val="26"/>
        </w:rPr>
        <w:t>——WorkBuddy 开放 Agent 生态 · 从自然语言到资产命中的完整管道——</w:t>
      </w:r>
    </w:p>
    <w:p>
      <w:pPr>
        <w:spacing w:after="1600"/>
        <w:jc w:val="center"/>
      </w:pPr>
      <w:r>
        <w:rPr>
          <w:rFonts w:ascii="宋体" w:hAnsi="宋体" w:eastAsia="宋体"/>
          <w:b w:val="0"/>
          <w:i/>
          <w:color w:val="5F5E5A"/>
          <w:sz w:val="24"/>
        </w:rPr>
        <w:t>让每个阶段由最合适的判断者承担：模型、规则、人，各司其职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1814"/>
            <w:shd w:fill="185F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1"/>
              </w:rPr>
              <w:t>项目</w:t>
            </w:r>
          </w:p>
        </w:tc>
        <w:tc>
          <w:tcPr>
            <w:tcW w:type="dxa" w:w="6520"/>
            <w:shd w:fill="185F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1"/>
              </w:rPr>
              <w:t>内容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文档名称</w:t>
            </w:r>
          </w:p>
        </w:tc>
        <w:tc>
          <w:tcPr>
            <w:tcW w:type="dxa" w:w="652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用户需求 → Agent 分发链路设计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交付类型</w:t>
            </w:r>
          </w:p>
        </w:tc>
        <w:tc>
          <w:tcPr>
            <w:tcW w:type="dxa" w:w="652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任务要求产出物二：《用户需求→Agent 分发链路设计》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文档定位</w:t>
            </w:r>
          </w:p>
        </w:tc>
        <w:tc>
          <w:tcPr>
            <w:tcW w:type="dxa" w:w="652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方案（分发管道设计；承载判断分工说明）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上游输入</w:t>
            </w:r>
          </w:p>
        </w:tc>
        <w:tc>
          <w:tcPr>
            <w:tcW w:type="dxa" w:w="652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P1《Agent 资产质量评估框架》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版本</w:t>
            </w:r>
          </w:p>
        </w:tc>
        <w:tc>
          <w:tcPr>
            <w:tcW w:type="dxa" w:w="652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V1.1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日期</w:t>
            </w:r>
          </w:p>
        </w:tc>
        <w:tc>
          <w:tcPr>
            <w:tcW w:type="dxa" w:w="652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2026-09-09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编制方式</w:t>
            </w:r>
          </w:p>
        </w:tc>
        <w:tc>
          <w:tcPr>
            <w:tcW w:type="dxa" w:w="652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AI 辅助（Claude Code）</w:t>
            </w:r>
          </w:p>
        </w:tc>
      </w:tr>
    </w:tbl>
    <w:p>
      <w:pPr>
        <w:spacing w:after="80"/>
      </w:pPr>
    </w:p>
    <w:p/>
    <w:p>
      <w:pPr>
        <w:keepNext/>
        <w:spacing w:before="320" w:after="240" w:line="360" w:lineRule="auto"/>
        <w:jc w:val="center"/>
      </w:pPr>
      <w:r>
        <w:rPr>
          <w:rFonts w:ascii="黑体" w:hAnsi="黑体" w:eastAsia="黑体"/>
          <w:b/>
          <w:i w:val="0"/>
          <w:color w:val="0C447C"/>
          <w:sz w:val="36"/>
        </w:rPr>
        <w:t>摘要</w:t>
      </w:r>
    </w:p>
    <w:p>
      <w:pPr>
        <w:spacing w:before="120" w:after="120" w:line="360" w:lineRule="auto"/>
        <w:ind w:firstLine="480"/>
        <w:jc w:val="both"/>
      </w:pPr>
      <w:r>
        <w:rPr>
          <w:rFonts w:ascii="宋体" w:hAnsi="宋体" w:eastAsia="宋体"/>
          <w:b w:val="0"/>
          <w:i w:val="0"/>
          <w:color w:val="2C2C2A"/>
          <w:sz w:val="24"/>
        </w:rPr>
        <w:t>本设计把“用户用自然语言描述需求 → 命中合适的 Agent”拆成一条可审计的完整链路，并给出</w:t>
      </w:r>
      <w:r>
        <w:rPr>
          <w:rFonts w:ascii="宋体" w:hAnsi="宋体" w:eastAsia="宋体"/>
          <w:b/>
          <w:i w:val="0"/>
          <w:color w:val="2C2C2A"/>
          <w:sz w:val="24"/>
        </w:rPr>
        <w:t>每个阶段由规则、模型还是人来承担判断</w:t>
      </w:r>
      <w:r>
        <w:rPr>
          <w:rFonts w:ascii="宋体" w:hAnsi="宋体" w:eastAsia="宋体"/>
          <w:b w:val="0"/>
          <w:i w:val="0"/>
          <w:color w:val="2C2C2A"/>
          <w:sz w:val="24"/>
        </w:rPr>
        <w:t>及其原因。</w:t>
      </w:r>
    </w:p>
    <w:p>
      <w:pPr>
        <w:spacing w:before="120" w:after="120" w:line="360" w:lineRule="auto"/>
        <w:ind w:firstLine="480"/>
        <w:jc w:val="both"/>
      </w:pPr>
      <w:r>
        <w:rPr>
          <w:rFonts w:ascii="宋体" w:hAnsi="宋体" w:eastAsia="宋体"/>
          <w:b w:val="0"/>
          <w:i w:val="0"/>
          <w:color w:val="2C2C2A"/>
          <w:sz w:val="24"/>
        </w:rPr>
        <w:t>核心采用一条</w:t>
      </w:r>
      <w:r>
        <w:rPr>
          <w:rFonts w:ascii="宋体" w:hAnsi="宋体" w:eastAsia="宋体"/>
          <w:b/>
          <w:i w:val="0"/>
          <w:color w:val="2C2C2A"/>
          <w:sz w:val="24"/>
        </w:rPr>
        <w:t>分工第一性原理</w:t>
      </w:r>
      <w:r>
        <w:rPr>
          <w:rFonts w:ascii="宋体" w:hAnsi="宋体" w:eastAsia="宋体"/>
          <w:b w:val="0"/>
          <w:i w:val="0"/>
          <w:color w:val="2C2C2A"/>
          <w:sz w:val="24"/>
        </w:rPr>
        <w:t>：凡是需要</w:t>
      </w:r>
      <w:r>
        <w:rPr>
          <w:rFonts w:ascii="宋体" w:hAnsi="宋体" w:eastAsia="宋体"/>
          <w:b/>
          <w:i w:val="0"/>
          <w:color w:val="2C2C2A"/>
          <w:sz w:val="24"/>
        </w:rPr>
        <w:t>开放语义推理、依赖世界知识与语境细腻度</w:t>
      </w:r>
      <w:r>
        <w:rPr>
          <w:rFonts w:ascii="宋体" w:hAnsi="宋体" w:eastAsia="宋体"/>
          <w:b w:val="0"/>
          <w:i w:val="0"/>
          <w:color w:val="2C2C2A"/>
          <w:sz w:val="24"/>
        </w:rPr>
        <w:t>的判断交给</w:t>
      </w:r>
      <w:r>
        <w:rPr>
          <w:rFonts w:ascii="宋体" w:hAnsi="宋体" w:eastAsia="宋体"/>
          <w:b/>
          <w:i w:val="0"/>
          <w:color w:val="2C2C2A"/>
          <w:sz w:val="24"/>
        </w:rPr>
        <w:t>模型</w:t>
      </w:r>
      <w:r>
        <w:rPr>
          <w:rFonts w:ascii="宋体" w:hAnsi="宋体" w:eastAsia="宋体"/>
          <w:b w:val="0"/>
          <w:i w:val="0"/>
          <w:color w:val="2C2C2A"/>
          <w:sz w:val="24"/>
        </w:rPr>
        <w:t>；凡是</w:t>
      </w:r>
      <w:r>
        <w:rPr>
          <w:rFonts w:ascii="宋体" w:hAnsi="宋体" w:eastAsia="宋体"/>
          <w:b/>
          <w:i w:val="0"/>
          <w:color w:val="2C2C2A"/>
          <w:sz w:val="24"/>
        </w:rPr>
        <w:t>可枚举阈值 / 公式、要求稳定可审计、要扛量且防作弊</w:t>
      </w:r>
      <w:r>
        <w:rPr>
          <w:rFonts w:ascii="宋体" w:hAnsi="宋体" w:eastAsia="宋体"/>
          <w:b w:val="0"/>
          <w:i w:val="0"/>
          <w:color w:val="2C2C2A"/>
          <w:sz w:val="24"/>
        </w:rPr>
        <w:t>的判定交给</w:t>
      </w:r>
      <w:r>
        <w:rPr>
          <w:rFonts w:ascii="宋体" w:hAnsi="宋体" w:eastAsia="宋体"/>
          <w:b/>
          <w:i w:val="0"/>
          <w:color w:val="2C2C2A"/>
          <w:sz w:val="24"/>
        </w:rPr>
        <w:t>规则</w:t>
      </w:r>
      <w:r>
        <w:rPr>
          <w:rFonts w:ascii="宋体" w:hAnsi="宋体" w:eastAsia="宋体"/>
          <w:b w:val="0"/>
          <w:i w:val="0"/>
          <w:color w:val="2C2C2A"/>
          <w:sz w:val="24"/>
        </w:rPr>
        <w:t>；凡是</w:t>
      </w:r>
      <w:r>
        <w:rPr>
          <w:rFonts w:ascii="宋体" w:hAnsi="宋体" w:eastAsia="宋体"/>
          <w:b/>
          <w:i w:val="0"/>
          <w:color w:val="2C2C2A"/>
          <w:sz w:val="24"/>
        </w:rPr>
        <w:t>不可逆、可申诉、涉及公平与权力</w:t>
      </w:r>
      <w:r>
        <w:rPr>
          <w:rFonts w:ascii="宋体" w:hAnsi="宋体" w:eastAsia="宋体"/>
          <w:b w:val="0"/>
          <w:i w:val="0"/>
          <w:color w:val="2C2C2A"/>
          <w:sz w:val="24"/>
        </w:rPr>
        <w:t>的裁决留给</w:t>
      </w:r>
      <w:r>
        <w:rPr>
          <w:rFonts w:ascii="宋体" w:hAnsi="宋体" w:eastAsia="宋体"/>
          <w:b/>
          <w:i w:val="0"/>
          <w:color w:val="2C2C2A"/>
          <w:sz w:val="24"/>
        </w:rPr>
        <w:t>人工</w:t>
      </w:r>
      <w:r>
        <w:rPr>
          <w:rFonts w:ascii="宋体" w:hAnsi="宋体" w:eastAsia="宋体"/>
          <w:b w:val="0"/>
          <w:i w:val="0"/>
          <w:color w:val="2C2C2A"/>
          <w:sz w:val="24"/>
        </w:rPr>
        <w:t>。</w:t>
      </w:r>
    </w:p>
    <w:p>
      <w:pPr>
        <w:spacing w:before="120" w:after="120" w:line="360" w:lineRule="auto"/>
        <w:ind w:firstLine="480"/>
        <w:jc w:val="both"/>
      </w:pPr>
      <w:r>
        <w:rPr>
          <w:rFonts w:ascii="宋体" w:hAnsi="宋体" w:eastAsia="宋体"/>
          <w:b w:val="0"/>
          <w:i w:val="0"/>
          <w:color w:val="2C2C2A"/>
          <w:sz w:val="24"/>
        </w:rPr>
        <w:t>链路共 10 个阶段，覆盖从需求理解、候选召回、语境适配计算、质量排序、探索 / 利用决策、门禁生命周期裁定、分发执行、到反馈闭环与数据回流。它</w:t>
      </w:r>
      <w:r>
        <w:rPr>
          <w:rFonts w:ascii="宋体" w:hAnsi="宋体" w:eastAsia="宋体"/>
          <w:b/>
          <w:i w:val="0"/>
          <w:color w:val="2C2C2A"/>
          <w:sz w:val="24"/>
        </w:rPr>
        <w:t>消费 P1 的质量分、语境适配度、生态因子、门禁状态</w:t>
      </w:r>
      <w:r>
        <w:rPr>
          <w:rFonts w:ascii="宋体" w:hAnsi="宋体" w:eastAsia="宋体"/>
          <w:b w:val="0"/>
          <w:i w:val="0"/>
          <w:color w:val="2C2C2A"/>
          <w:sz w:val="24"/>
        </w:rPr>
        <w:t>，并内置“三次未命中即放弃”的兜底路径。</w:t>
      </w:r>
    </w:p>
    <w:p>
      <w:pPr>
        <w:spacing w:before="160" w:after="160" w:line="360" w:lineRule="auto"/>
        <w:ind w:left="240" w:right="240"/>
        <w:pBdr>
          <w:left w:val="single" w:sz="12" w:space="8" w:color="534AB7"/>
        </w:pBdr>
      </w:pPr>
      <w:r>
        <w:rPr>
          <w:rFonts w:ascii="宋体" w:hAnsi="宋体" w:eastAsia="宋体"/>
          <w:b/>
          <w:i w:val="0"/>
          <w:color w:val="534AB7"/>
          <w:sz w:val="24"/>
        </w:rPr>
        <w:t>链路核心命题：在“合格基础上的最匹配优先”前提下，用探索/利用机制把长尾需求相机地交给达标长尾资产——这正是反马太策略的工程载体。</w:t>
      </w:r>
    </w:p>
    <w:p>
      <w:r>
        <w:br w:type="page"/>
      </w:r>
    </w:p>
    <w:p>
      <w:pPr>
        <w:keepNext/>
        <w:spacing w:before="320" w:after="240" w:line="360" w:lineRule="auto"/>
        <w:jc w:val="center"/>
      </w:pPr>
      <w:r>
        <w:rPr>
          <w:rFonts w:ascii="黑体" w:hAnsi="黑体" w:eastAsia="黑体"/>
          <w:b/>
          <w:i w:val="0"/>
          <w:color w:val="0C447C"/>
          <w:sz w:val="36"/>
        </w:rPr>
        <w:t>一、设计原则</w:t>
      </w:r>
    </w:p>
    <w:p>
      <w:pPr>
        <w:keepNext/>
        <w:spacing w:before="240" w:after="120" w:line="360" w:lineRule="auto"/>
      </w:pPr>
      <w:r>
        <w:rPr>
          <w:rFonts w:ascii="黑体" w:hAnsi="黑体" w:eastAsia="黑体"/>
          <w:b/>
          <w:i w:val="0"/>
          <w:color w:val="185FA5"/>
          <w:sz w:val="30"/>
        </w:rPr>
        <w:t>1.1 判断分工的第一性原理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1247"/>
            <w:shd w:fill="185F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1"/>
              </w:rPr>
              <w:t>判断者</w:t>
            </w:r>
          </w:p>
        </w:tc>
        <w:tc>
          <w:tcPr>
            <w:tcW w:type="dxa" w:w="2721"/>
            <w:shd w:fill="185F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1"/>
              </w:rPr>
              <w:t>擅长</w:t>
            </w:r>
          </w:p>
        </w:tc>
        <w:tc>
          <w:tcPr>
            <w:tcW w:type="dxa" w:w="2494"/>
            <w:shd w:fill="185F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1"/>
              </w:rPr>
              <w:t>局限 / 约束</w:t>
            </w:r>
          </w:p>
        </w:tc>
        <w:tc>
          <w:tcPr>
            <w:tcW w:type="dxa" w:w="2381"/>
            <w:shd w:fill="185F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1"/>
              </w:rPr>
              <w:t>适用场景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模型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开放语义推理、世界知识、语境细腻判断（意图、适配、模糊归因）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不可复现、成本高、可被注入、延迟非零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需求理解、语境适配、模糊归因、个性化表述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规则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确定性阈值 / 公式、稳定可审计、低成本、扛量、天然防作弊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缺乏语义细腻度、僵化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门槛判定、评分组合、探索策略、资格过滤、计数兜底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人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不可逆 / 可申诉决策、公平、生态调参、金标准抽检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成本高、不可规模化、有主观性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清退、争议、稀缺豁免复核、生态调参、争议解答</w:t>
            </w:r>
          </w:p>
        </w:tc>
      </w:tr>
    </w:tbl>
    <w:p>
      <w:pPr>
        <w:spacing w:after="80"/>
      </w:pPr>
    </w:p>
    <w:p>
      <w:pPr>
        <w:keepNext/>
        <w:spacing w:before="240" w:after="120" w:line="360" w:lineRule="auto"/>
      </w:pPr>
      <w:r>
        <w:rPr>
          <w:rFonts w:ascii="黑体" w:hAnsi="黑体" w:eastAsia="黑体"/>
          <w:b/>
          <w:i w:val="0"/>
          <w:color w:val="185FA5"/>
          <w:sz w:val="30"/>
        </w:rPr>
        <w:t>1.2 三个硬性约束</w:t>
      </w:r>
    </w:p>
    <w:p>
      <w:pPr>
        <w:spacing w:before="40" w:after="40" w:line="360" w:lineRule="auto"/>
        <w:ind w:left="480"/>
      </w:pPr>
      <w:r>
        <w:rPr>
          <w:rFonts w:ascii="宋体" w:hAnsi="宋体" w:eastAsia="宋体"/>
          <w:b/>
          <w:i w:val="0"/>
          <w:color w:val="185FA5"/>
          <w:sz w:val="24"/>
        </w:rPr>
        <w:t>• 权力不自动：</w:t>
      </w:r>
      <w:r>
        <w:rPr>
          <w:rFonts w:ascii="宋体" w:hAnsi="宋体" w:eastAsia="宋体"/>
          <w:b w:val="0"/>
          <w:i w:val="0"/>
          <w:color w:val="2C2C2A"/>
          <w:sz w:val="24"/>
        </w:rPr>
        <w:t>自动判定可加速，但“清退 / 争议”这类不可逆或涉及创作者权益的决定，必须留人，且可追溯、可申诉。</w:t>
      </w:r>
    </w:p>
    <w:p>
      <w:pPr>
        <w:spacing w:before="40" w:after="40" w:line="360" w:lineRule="auto"/>
        <w:ind w:left="480"/>
      </w:pPr>
      <w:r>
        <w:rPr>
          <w:rFonts w:ascii="宋体" w:hAnsi="宋体" w:eastAsia="宋体"/>
          <w:b/>
          <w:i w:val="0"/>
          <w:color w:val="185FA5"/>
          <w:sz w:val="24"/>
        </w:rPr>
        <w:t>• 可审计：</w:t>
      </w:r>
      <w:r>
        <w:rPr>
          <w:rFonts w:ascii="宋体" w:hAnsi="宋体" w:eastAsia="宋体"/>
          <w:b w:val="0"/>
          <w:i w:val="0"/>
          <w:color w:val="2C2C2A"/>
          <w:sz w:val="24"/>
        </w:rPr>
        <w:t>每次分发都应能回溯到证据子集（哪些信号、哪些数据），支撑“可采信”与创作者申诉。</w:t>
      </w:r>
    </w:p>
    <w:p>
      <w:pPr>
        <w:spacing w:before="40" w:after="40" w:line="360" w:lineRule="auto"/>
        <w:ind w:left="480"/>
      </w:pPr>
      <w:r>
        <w:rPr>
          <w:rFonts w:ascii="宋体" w:hAnsi="宋体" w:eastAsia="宋体"/>
          <w:b/>
          <w:i w:val="0"/>
          <w:color w:val="185FA5"/>
          <w:sz w:val="24"/>
        </w:rPr>
        <w:t>• 可降级：</w:t>
      </w:r>
      <w:r>
        <w:rPr>
          <w:rFonts w:ascii="宋体" w:hAnsi="宋体" w:eastAsia="宋体"/>
          <w:b w:val="0"/>
          <w:i w:val="0"/>
          <w:color w:val="2C2C2A"/>
          <w:sz w:val="24"/>
        </w:rPr>
        <w:t>链路在大模型不可用时仍有兜底（规则降级、关键词路径回归），避免单点依赖。</w:t>
      </w:r>
    </w:p>
    <w:p>
      <w:pPr>
        <w:keepNext/>
        <w:spacing w:before="320" w:after="240" w:line="360" w:lineRule="auto"/>
        <w:jc w:val="center"/>
      </w:pPr>
      <w:r>
        <w:rPr>
          <w:rFonts w:ascii="黑体" w:hAnsi="黑体" w:eastAsia="黑体"/>
          <w:b/>
          <w:i w:val="0"/>
          <w:color w:val="0C447C"/>
          <w:sz w:val="36"/>
        </w:rPr>
        <w:t>二、链路总览</w:t>
      </w:r>
    </w:p>
    <w:p>
      <w:pPr>
        <w:spacing w:before="120" w:after="120" w:line="360" w:lineRule="auto"/>
        <w:ind w:firstLine="480"/>
        <w:jc w:val="both"/>
      </w:pPr>
      <w:r>
        <w:rPr>
          <w:rFonts w:ascii="宋体" w:hAnsi="宋体" w:eastAsia="宋体"/>
          <w:b w:val="0"/>
          <w:i w:val="0"/>
          <w:color w:val="2C2C2A"/>
          <w:sz w:val="24"/>
        </w:rPr>
        <w:t>整条链路按“输入 → 理解 → 召回 → 匹配 → 排序 → 探索 → 门禁 → 分发 → 反馈 → 回流”线性推进，其中探索与门禁形成对“长尾”的两道保护。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680"/>
            <w:shd w:fill="185F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1"/>
              </w:rPr>
              <w:t>#</w:t>
            </w:r>
          </w:p>
        </w:tc>
        <w:tc>
          <w:tcPr>
            <w:tcW w:type="dxa" w:w="2381"/>
            <w:shd w:fill="185F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1"/>
              </w:rPr>
              <w:t>阶段</w:t>
            </w:r>
          </w:p>
        </w:tc>
        <w:tc>
          <w:tcPr>
            <w:tcW w:type="dxa" w:w="1814"/>
            <w:shd w:fill="185F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1"/>
              </w:rPr>
              <w:t>判断承担者</w:t>
            </w:r>
          </w:p>
        </w:tc>
        <w:tc>
          <w:tcPr>
            <w:tcW w:type="dxa" w:w="3969"/>
            <w:shd w:fill="185F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1"/>
              </w:rPr>
              <w:t>一句话职责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①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需求理解（NLU）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模型为主 + 规则辅助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把自然语言需求解析为：意图 + 实体 + 约束 + 质量预期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②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需求画像 / 语境向量化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模型 + 规则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生成检索向量，识别需求簇（head / 长尾）、域、紧急度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③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候选召回（Recall）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规则 + 模型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按语义相似度 + 需求簇召回候选，受硬性资格过滤约束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④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语境命中适配度计算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模型为主 + 规则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评估候选对“当下这个需求”的适配度（语境因子）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⑤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质量接入与复合排序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规则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最终分 = 语境适配度 × 基础质量 × 生态增益，排序出候选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⑥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探索 / 利用决策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规则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对低置信 / 长尾候选施加 UCB 乐观或路由到探索预算池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⑦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门禁与生命周期裁定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规则 + 模型；人（高风险）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底线 / 竞争闸门自动判定；清退 / 争议 / 稀缺豁免复核留人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⑧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分发执行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规则 + 模型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返回 top-k 命中结果，必要时由模型生成命中说明 / 推荐语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⑨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反馈闭环（3 次未命中兜底）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规则 + 模型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记录命中 / 放弃 / 评分 / 失败，计数触发关键词路径回归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⑩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数据回流与质量更新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规则（收缩）+ 模型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新行为回流，经贝叶斯收缩更新基础质量，更新探索置信度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320" w:after="240" w:line="360" w:lineRule="auto"/>
        <w:jc w:val="center"/>
      </w:pPr>
      <w:r>
        <w:rPr>
          <w:rFonts w:ascii="黑体" w:hAnsi="黑体" w:eastAsia="黑体"/>
          <w:b/>
          <w:i w:val="0"/>
          <w:color w:val="0C447C"/>
          <w:sz w:val="36"/>
        </w:rPr>
        <w:t>三、逐阶段细说明（判断分工与理由）</w:t>
      </w:r>
    </w:p>
    <w:p>
      <w:pPr>
        <w:keepNext/>
        <w:spacing w:before="240" w:after="120" w:line="360" w:lineRule="auto"/>
      </w:pPr>
      <w:r>
        <w:rPr>
          <w:rFonts w:ascii="黑体" w:hAnsi="黑体" w:eastAsia="黑体"/>
          <w:b/>
          <w:i w:val="0"/>
          <w:color w:val="185FA5"/>
          <w:sz w:val="30"/>
        </w:rPr>
        <w:t>3.1 阶段① 需求理解</w:t>
      </w:r>
    </w:p>
    <w:p>
      <w:pPr>
        <w:spacing w:before="120" w:after="120" w:line="360" w:lineRule="auto"/>
        <w:ind w:firstLine="480"/>
        <w:jc w:val="both"/>
      </w:pPr>
      <w:r>
        <w:rPr>
          <w:rFonts w:ascii="宋体" w:hAnsi="宋体" w:eastAsia="宋体"/>
          <w:b/>
          <w:i w:val="0"/>
          <w:color w:val="2C2C2A"/>
          <w:sz w:val="24"/>
        </w:rPr>
        <w:t>承担者：模型为主 + 规则辅助</w:t>
      </w:r>
      <w:r>
        <w:rPr>
          <w:rFonts w:ascii="宋体" w:hAnsi="宋体" w:eastAsia="宋体"/>
          <w:b w:val="0"/>
          <w:i w:val="0"/>
          <w:color w:val="2C2C2A"/>
          <w:sz w:val="24"/>
        </w:rPr>
        <w:t>。模型解析自然语言为结构化需求（意图、实体、约束、质量预期）；规则负责实体参数硬抽取、格式校验与降级兜底（模型不可用时的关键词回退 / 预设槽位）。</w:t>
      </w:r>
    </w:p>
    <w:p>
      <w:pPr>
        <w:spacing w:before="120" w:after="120" w:line="360" w:lineRule="auto"/>
        <w:ind w:firstLine="480"/>
        <w:jc w:val="both"/>
      </w:pPr>
      <w:r>
        <w:rPr>
          <w:rFonts w:ascii="宋体" w:hAnsi="宋体" w:eastAsia="宋体"/>
          <w:b w:val="0"/>
          <w:i w:val="0"/>
          <w:color w:val="2C2C2A"/>
          <w:sz w:val="24"/>
        </w:rPr>
        <w:t>为什么：理解“帮我总结这段会议纪要”这类开放需求是语义推理，规则无法枚举；但“时间、对象、输出形式”这类硬参数交由规则能保证稳定与可审计。模型管“懂”，规则管“准”与“稳”。</w:t>
      </w:r>
    </w:p>
    <w:p>
      <w:pPr>
        <w:spacing w:before="40" w:after="40" w:line="360" w:lineRule="auto"/>
        <w:ind w:left="480"/>
      </w:pPr>
      <w:r>
        <w:rPr>
          <w:rFonts w:ascii="宋体" w:hAnsi="宋体" w:eastAsia="宋体"/>
          <w:b/>
          <w:i w:val="0"/>
          <w:color w:val="185FA5"/>
          <w:sz w:val="24"/>
        </w:rPr>
        <w:t>• 与 P1 衔接：</w:t>
      </w:r>
      <w:r>
        <w:rPr>
          <w:rFonts w:ascii="宋体" w:hAnsi="宋体" w:eastAsia="宋体"/>
          <w:b w:val="0"/>
          <w:i w:val="0"/>
          <w:color w:val="2C2C2A"/>
          <w:sz w:val="24"/>
        </w:rPr>
        <w:t>输出同时接入 P1 的“需求理解层结果”，供后续簇识别与画像复用。</w:t>
      </w:r>
    </w:p>
    <w:p>
      <w:pPr>
        <w:keepNext/>
        <w:spacing w:before="240" w:after="120" w:line="360" w:lineRule="auto"/>
      </w:pPr>
      <w:r>
        <w:rPr>
          <w:rFonts w:ascii="黑体" w:hAnsi="黑体" w:eastAsia="黑体"/>
          <w:b/>
          <w:i w:val="0"/>
          <w:color w:val="185FA5"/>
          <w:sz w:val="30"/>
        </w:rPr>
        <w:t>3.2 阶段② 需求画像 / 语境向量化</w:t>
      </w:r>
    </w:p>
    <w:p>
      <w:pPr>
        <w:spacing w:before="120" w:after="120" w:line="360" w:lineRule="auto"/>
        <w:ind w:firstLine="480"/>
        <w:jc w:val="both"/>
      </w:pPr>
      <w:r>
        <w:rPr>
          <w:rFonts w:ascii="宋体" w:hAnsi="宋体" w:eastAsia="宋体"/>
          <w:b/>
          <w:i w:val="0"/>
          <w:color w:val="2C2C2A"/>
          <w:sz w:val="24"/>
        </w:rPr>
        <w:t>承担者：模型 + 规则</w:t>
      </w:r>
      <w:r>
        <w:rPr>
          <w:rFonts w:ascii="宋体" w:hAnsi="宋体" w:eastAsia="宋体"/>
          <w:b w:val="0"/>
          <w:i w:val="0"/>
          <w:color w:val="2C2C2A"/>
          <w:sz w:val="24"/>
        </w:rPr>
        <w:t>。模型做语义嵌入与需求簇聚类（判断这是 head 常见需求还是长尾稀缺需求）；规则设定域标记、紧急度、配额的阈值（如“涉敏”“合规”“需人工复核”的域标记由规则枚举）。</w:t>
      </w:r>
    </w:p>
    <w:p>
      <w:pPr>
        <w:spacing w:before="120" w:after="120" w:line="360" w:lineRule="auto"/>
        <w:ind w:firstLine="480"/>
        <w:jc w:val="both"/>
      </w:pPr>
      <w:r>
        <w:rPr>
          <w:rFonts w:ascii="宋体" w:hAnsi="宋体" w:eastAsia="宋体"/>
          <w:b w:val="0"/>
          <w:i w:val="0"/>
          <w:color w:val="2C2C2A"/>
          <w:sz w:val="24"/>
        </w:rPr>
        <w:t>为什么：簇的“归属”是语义量，需要模型；但“是否触达某种边界条件”应由规则显式声明，避免模型自行发挥触发不可控逻辑。</w:t>
      </w:r>
    </w:p>
    <w:p>
      <w:pPr>
        <w:keepNext/>
        <w:spacing w:before="240" w:after="120" w:line="360" w:lineRule="auto"/>
      </w:pPr>
      <w:r>
        <w:rPr>
          <w:rFonts w:ascii="黑体" w:hAnsi="黑体" w:eastAsia="黑体"/>
          <w:b/>
          <w:i w:val="0"/>
          <w:color w:val="185FA5"/>
          <w:sz w:val="30"/>
        </w:rPr>
        <w:t>3.3 阶段③ 候选召回</w:t>
      </w:r>
    </w:p>
    <w:p>
      <w:pPr>
        <w:spacing w:before="120" w:after="120" w:line="360" w:lineRule="auto"/>
        <w:ind w:firstLine="480"/>
        <w:jc w:val="both"/>
      </w:pPr>
      <w:r>
        <w:rPr>
          <w:rFonts w:ascii="宋体" w:hAnsi="宋体" w:eastAsia="宋体"/>
          <w:b/>
          <w:i w:val="0"/>
          <w:color w:val="2C2C2A"/>
          <w:sz w:val="24"/>
        </w:rPr>
        <w:t>承担者：规则 + 模型</w:t>
      </w:r>
      <w:r>
        <w:rPr>
          <w:rFonts w:ascii="宋体" w:hAnsi="宋体" w:eastAsia="宋体"/>
          <w:b w:val="0"/>
          <w:i w:val="0"/>
          <w:color w:val="2C2C2A"/>
          <w:sz w:val="24"/>
        </w:rPr>
        <w:t>。模型提供语义向量相似度检索；规则做硬性资格过滤（启用状态、黑名单、合规、最低内容自证分）。</w:t>
      </w:r>
    </w:p>
    <w:p>
      <w:pPr>
        <w:spacing w:before="120" w:after="120" w:line="360" w:lineRule="auto"/>
        <w:ind w:firstLine="480"/>
        <w:jc w:val="both"/>
      </w:pPr>
      <w:r>
        <w:rPr>
          <w:rFonts w:ascii="宋体" w:hAnsi="宋体" w:eastAsia="宋体"/>
          <w:b w:val="0"/>
          <w:i w:val="0"/>
          <w:color w:val="2C2C2A"/>
          <w:sz w:val="24"/>
        </w:rPr>
        <w:t>为什么：召回要“广”，相似度靠模型；但“哪些资产根本不该出现”是边界约束，必须用规则把住，防模型把不合规 / 下架资产召回。</w:t>
      </w:r>
    </w:p>
    <w:p>
      <w:pPr>
        <w:keepNext/>
        <w:spacing w:before="240" w:after="120" w:line="360" w:lineRule="auto"/>
      </w:pPr>
      <w:r>
        <w:rPr>
          <w:rFonts w:ascii="黑体" w:hAnsi="黑体" w:eastAsia="黑体"/>
          <w:b/>
          <w:i w:val="0"/>
          <w:color w:val="185FA5"/>
          <w:sz w:val="30"/>
        </w:rPr>
        <w:t>3.4 阶段④ 语境命中适配度计算</w:t>
      </w:r>
    </w:p>
    <w:p>
      <w:pPr>
        <w:spacing w:before="120" w:after="120" w:line="360" w:lineRule="auto"/>
        <w:ind w:firstLine="480"/>
        <w:jc w:val="both"/>
      </w:pPr>
      <w:r>
        <w:rPr>
          <w:rFonts w:ascii="宋体" w:hAnsi="宋体" w:eastAsia="宋体"/>
          <w:b/>
          <w:i w:val="0"/>
          <w:color w:val="2C2C2A"/>
          <w:sz w:val="24"/>
        </w:rPr>
        <w:t>承担者：模型为主 + 规则</w:t>
      </w:r>
      <w:r>
        <w:rPr>
          <w:rFonts w:ascii="宋体" w:hAnsi="宋体" w:eastAsia="宋体"/>
          <w:b w:val="0"/>
          <w:i w:val="0"/>
          <w:color w:val="2C2C2A"/>
          <w:sz w:val="24"/>
        </w:rPr>
        <w:t>。模型对“候选 × 当前需求”打分，评估语义匹配度、能力边界契合度；规则对其中可量化的部分（如任务类型是否匹配、专精 vs 广度）做确定性约束。</w:t>
      </w:r>
    </w:p>
    <w:p>
      <w:pPr>
        <w:spacing w:before="120" w:after="120" w:line="360" w:lineRule="auto"/>
        <w:ind w:firstLine="480"/>
        <w:jc w:val="both"/>
      </w:pPr>
      <w:r>
        <w:rPr>
          <w:rFonts w:ascii="宋体" w:hAnsi="宋体" w:eastAsia="宋体"/>
          <w:b w:val="0"/>
          <w:i w:val="0"/>
          <w:color w:val="2C2C2A"/>
          <w:sz w:val="24"/>
        </w:rPr>
        <w:t>为什么：这是“长尾命中”的关键——模型能识别“某个窄切片资产恰好最擅长这个冷门需求”；规则只兜底明显错配（如需求要文本、资产只能出图）。</w:t>
      </w:r>
    </w:p>
    <w:p>
      <w:pPr>
        <w:keepNext/>
        <w:spacing w:before="240" w:after="120" w:line="360" w:lineRule="auto"/>
      </w:pPr>
      <w:r>
        <w:rPr>
          <w:rFonts w:ascii="黑体" w:hAnsi="黑体" w:eastAsia="黑体"/>
          <w:b/>
          <w:i w:val="0"/>
          <w:color w:val="185FA5"/>
          <w:sz w:val="30"/>
        </w:rPr>
        <w:t>3.5 阶段⑤ 质量接入与复合排序</w:t>
      </w:r>
    </w:p>
    <w:p>
      <w:pPr>
        <w:spacing w:before="120" w:after="120" w:line="360" w:lineRule="auto"/>
        <w:ind w:firstLine="480"/>
        <w:jc w:val="both"/>
      </w:pPr>
      <w:r>
        <w:rPr>
          <w:rFonts w:ascii="宋体" w:hAnsi="宋体" w:eastAsia="宋体"/>
          <w:b/>
          <w:i w:val="0"/>
          <w:color w:val="2C2C2A"/>
          <w:sz w:val="24"/>
        </w:rPr>
        <w:t>承担者：规则</w:t>
      </w:r>
      <w:r>
        <w:rPr>
          <w:rFonts w:ascii="宋体" w:hAnsi="宋体" w:eastAsia="宋体"/>
          <w:b w:val="0"/>
          <w:i w:val="0"/>
          <w:color w:val="2C2C2A"/>
          <w:sz w:val="24"/>
        </w:rPr>
        <w:t>。最终分 = 语境适配度 × 基础质量 × 生态增益（P1 定义），直接做确定性乘法与排序。</w:t>
      </w:r>
    </w:p>
    <w:p>
      <w:pPr>
        <w:spacing w:before="120" w:after="120" w:line="360" w:lineRule="auto"/>
        <w:ind w:firstLine="480"/>
        <w:jc w:val="both"/>
      </w:pPr>
      <w:r>
        <w:rPr>
          <w:rFonts w:ascii="宋体" w:hAnsi="宋体" w:eastAsia="宋体"/>
          <w:b w:val="0"/>
          <w:i w:val="0"/>
          <w:color w:val="2C2C2A"/>
          <w:sz w:val="24"/>
        </w:rPr>
        <w:t>为什么：组合与排序是确定性、可审计、要扛量、需防作弊的运算，交给规则保证可复现；模型在此只提供输入，不做自由裁量——防止排序被“解释”带偏。</w:t>
      </w:r>
    </w:p>
    <w:p>
      <w:pPr>
        <w:keepNext/>
        <w:spacing w:before="240" w:after="120" w:line="360" w:lineRule="auto"/>
      </w:pPr>
      <w:r>
        <w:rPr>
          <w:rFonts w:ascii="黑体" w:hAnsi="黑体" w:eastAsia="黑体"/>
          <w:b/>
          <w:i w:val="0"/>
          <w:color w:val="185FA5"/>
          <w:sz w:val="30"/>
        </w:rPr>
        <w:t>3.6 阶段⑥ 探索 / 利用决策</w:t>
      </w:r>
    </w:p>
    <w:p>
      <w:pPr>
        <w:spacing w:before="120" w:after="120" w:line="360" w:lineRule="auto"/>
        <w:ind w:firstLine="480"/>
        <w:jc w:val="both"/>
      </w:pPr>
      <w:r>
        <w:rPr>
          <w:rFonts w:ascii="宋体" w:hAnsi="宋体" w:eastAsia="宋体"/>
          <w:b/>
          <w:i w:val="0"/>
          <w:color w:val="2C2C2A"/>
          <w:sz w:val="24"/>
        </w:rPr>
        <w:t>承担者：规则</w:t>
      </w:r>
      <w:r>
        <w:rPr>
          <w:rFonts w:ascii="宋体" w:hAnsi="宋体" w:eastAsia="宋体"/>
          <w:b w:val="0"/>
          <w:i w:val="0"/>
          <w:color w:val="2C2C2A"/>
          <w:sz w:val="24"/>
        </w:rPr>
        <w:t>。对低于置信度阈值或处于高长尾候选，施加 P1 的 UCB 乐观加成（score_路由 = Q̂ + β·√(ln t/N)），或路由到探索预算池；β 与探索预算为可调常数。</w:t>
      </w:r>
    </w:p>
    <w:p>
      <w:pPr>
        <w:spacing w:before="120" w:after="120" w:line="360" w:lineRule="auto"/>
        <w:ind w:firstLine="480"/>
        <w:jc w:val="both"/>
      </w:pPr>
      <w:r>
        <w:rPr>
          <w:rFonts w:ascii="宋体" w:hAnsi="宋体" w:eastAsia="宋体"/>
          <w:b w:val="0"/>
          <w:i w:val="0"/>
          <w:color w:val="2C2C2A"/>
          <w:sz w:val="24"/>
        </w:rPr>
        <w:t>为什么：这是反马太的开关——探索多少、探索谁，必须</w:t>
      </w:r>
      <w:r>
        <w:rPr>
          <w:rFonts w:ascii="宋体" w:hAnsi="宋体" w:eastAsia="宋体"/>
          <w:b/>
          <w:i w:val="0"/>
          <w:color w:val="2C2C2A"/>
          <w:sz w:val="24"/>
        </w:rPr>
        <w:t>可调、可回退、可观测</w:t>
      </w:r>
      <w:r>
        <w:rPr>
          <w:rFonts w:ascii="宋体" w:hAnsi="宋体" w:eastAsia="宋体"/>
          <w:b w:val="0"/>
          <w:i w:val="0"/>
          <w:color w:val="2C2C2A"/>
          <w:sz w:val="24"/>
        </w:rPr>
        <w:t>，用规则显式控制远比交给模型黑箱裁量更安全、更易归因。</w:t>
      </w:r>
    </w:p>
    <w:p>
      <w:pPr>
        <w:spacing w:before="160" w:after="160" w:line="360" w:lineRule="auto"/>
        <w:ind w:left="240" w:right="240"/>
        <w:pBdr>
          <w:left w:val="single" w:sz="12" w:space="8" w:color="534AB7"/>
        </w:pBdr>
      </w:pPr>
      <w:r>
        <w:rPr>
          <w:rFonts w:ascii="宋体" w:hAnsi="宋体" w:eastAsia="宋体"/>
          <w:b/>
          <w:i w:val="0"/>
          <w:color w:val="639922"/>
          <w:sz w:val="24"/>
        </w:rPr>
        <w:t>这也回填了“加分项（马太抑制）”：探索 / 利用决策就是它的工程载体，稀缺度因子在此作路由偏好信号二次复用。</w:t>
      </w:r>
    </w:p>
    <w:p>
      <w:pPr>
        <w:keepNext/>
        <w:spacing w:before="240" w:after="120" w:line="360" w:lineRule="auto"/>
      </w:pPr>
      <w:r>
        <w:rPr>
          <w:rFonts w:ascii="黑体" w:hAnsi="黑体" w:eastAsia="黑体"/>
          <w:b/>
          <w:i w:val="0"/>
          <w:color w:val="185FA5"/>
          <w:sz w:val="30"/>
        </w:rPr>
        <w:t>3.7 阶段⑦ 门禁与生命周期裁定</w:t>
      </w:r>
    </w:p>
    <w:p>
      <w:pPr>
        <w:spacing w:before="120" w:after="120" w:line="360" w:lineRule="auto"/>
        <w:ind w:firstLine="480"/>
        <w:jc w:val="both"/>
      </w:pPr>
      <w:r>
        <w:rPr>
          <w:rFonts w:ascii="宋体" w:hAnsi="宋体" w:eastAsia="宋体"/>
          <w:b/>
          <w:i w:val="0"/>
          <w:color w:val="2C2C2A"/>
          <w:sz w:val="24"/>
        </w:rPr>
        <w:t>承担者：规则 + 模型；人处理高风险</w:t>
      </w:r>
      <w:r>
        <w:rPr>
          <w:rFonts w:ascii="宋体" w:hAnsi="宋体" w:eastAsia="宋体"/>
          <w:b w:val="0"/>
          <w:i w:val="0"/>
          <w:color w:val="2C2C2A"/>
          <w:sz w:val="24"/>
        </w:rPr>
        <w:t>。底线闸门（绝对下限）与竞争闸门（同簇相对排名）由规则自动判定；模型提供质量分与稀缺缺口判断；稀缺豁免、清退、争议复核</w:t>
      </w:r>
      <w:r>
        <w:rPr>
          <w:rFonts w:ascii="宋体" w:hAnsi="宋体" w:eastAsia="宋体"/>
          <w:b/>
          <w:i w:val="0"/>
          <w:color w:val="2C2C2A"/>
          <w:sz w:val="24"/>
        </w:rPr>
        <w:t>留人工</w:t>
      </w:r>
      <w:r>
        <w:rPr>
          <w:rFonts w:ascii="宋体" w:hAnsi="宋体" w:eastAsia="宋体"/>
          <w:b w:val="0"/>
          <w:i w:val="0"/>
          <w:color w:val="2C2C2A"/>
          <w:sz w:val="24"/>
        </w:rPr>
        <w:t>且可追溯可申诉。</w:t>
      </w:r>
    </w:p>
    <w:p>
      <w:pPr>
        <w:spacing w:before="120" w:after="120" w:line="360" w:lineRule="auto"/>
        <w:ind w:firstLine="480"/>
        <w:jc w:val="both"/>
      </w:pPr>
      <w:r>
        <w:rPr>
          <w:rFonts w:ascii="宋体" w:hAnsi="宋体" w:eastAsia="宋体"/>
          <w:b w:val="0"/>
          <w:i w:val="0"/>
          <w:color w:val="2C2C2A"/>
          <w:sz w:val="24"/>
        </w:rPr>
        <w:t>为什么：自动判定扛量大、可审计；但“把创作者资产清出生态”是不可逆、涉公平的决定，必须有人兜底，弥补纯算法可能造成的个体误伤。</w:t>
      </w:r>
    </w:p>
    <w:p>
      <w:pPr>
        <w:keepNext/>
        <w:spacing w:before="240" w:after="120" w:line="360" w:lineRule="auto"/>
      </w:pPr>
      <w:r>
        <w:rPr>
          <w:rFonts w:ascii="黑体" w:hAnsi="黑体" w:eastAsia="黑体"/>
          <w:b/>
          <w:i w:val="0"/>
          <w:color w:val="185FA5"/>
          <w:sz w:val="30"/>
        </w:rPr>
        <w:t>3.8 阶段⑧ 分发执行</w:t>
      </w:r>
    </w:p>
    <w:p>
      <w:pPr>
        <w:spacing w:before="120" w:after="120" w:line="360" w:lineRule="auto"/>
        <w:ind w:firstLine="480"/>
        <w:jc w:val="both"/>
      </w:pPr>
      <w:r>
        <w:rPr>
          <w:rFonts w:ascii="宋体" w:hAnsi="宋体" w:eastAsia="宋体"/>
          <w:b/>
          <w:i w:val="0"/>
          <w:color w:val="2C2C2A"/>
          <w:sz w:val="24"/>
        </w:rPr>
        <w:t>承担者：规则 + 模型</w:t>
      </w:r>
      <w:r>
        <w:rPr>
          <w:rFonts w:ascii="宋体" w:hAnsi="宋体" w:eastAsia="宋体"/>
          <w:b w:val="0"/>
          <w:i w:val="0"/>
          <w:color w:val="2C2C2A"/>
          <w:sz w:val="24"/>
        </w:rPr>
        <w:t>。规则返回 top-k 命中结果并投递到曝光 / 推荐位；模型按需生成命中说明 / 个性化推荐语，让“为什么推这个”对用户可解释。</w:t>
      </w:r>
    </w:p>
    <w:p>
      <w:pPr>
        <w:spacing w:before="120" w:after="120" w:line="360" w:lineRule="auto"/>
        <w:ind w:firstLine="480"/>
        <w:jc w:val="both"/>
      </w:pPr>
      <w:r>
        <w:rPr>
          <w:rFonts w:ascii="宋体" w:hAnsi="宋体" w:eastAsia="宋体"/>
          <w:b w:val="0"/>
          <w:i w:val="0"/>
          <w:color w:val="2C2C2A"/>
          <w:sz w:val="24"/>
        </w:rPr>
        <w:t>为什么：投递是结果性操作，规则保证稳定；推荐语属于体验优化，模型承担，且其输出不影响分发决策本身。</w:t>
      </w:r>
    </w:p>
    <w:p>
      <w:pPr>
        <w:keepNext/>
        <w:spacing w:before="240" w:after="120" w:line="360" w:lineRule="auto"/>
      </w:pPr>
      <w:r>
        <w:rPr>
          <w:rFonts w:ascii="黑体" w:hAnsi="黑体" w:eastAsia="黑体"/>
          <w:b/>
          <w:i w:val="0"/>
          <w:color w:val="185FA5"/>
          <w:sz w:val="30"/>
        </w:rPr>
        <w:t>3.9 阶段⑨ 反馈闭环（含 3 次未命中兜底）</w:t>
      </w:r>
    </w:p>
    <w:p>
      <w:pPr>
        <w:spacing w:before="120" w:after="120" w:line="360" w:lineRule="auto"/>
        <w:ind w:firstLine="480"/>
        <w:jc w:val="both"/>
      </w:pPr>
      <w:r>
        <w:rPr>
          <w:rFonts w:ascii="宋体" w:hAnsi="宋体" w:eastAsia="宋体"/>
          <w:b/>
          <w:i w:val="0"/>
          <w:color w:val="2C2C2A"/>
          <w:sz w:val="24"/>
        </w:rPr>
        <w:t>承担者：规则 + 模型</w:t>
      </w:r>
      <w:r>
        <w:rPr>
          <w:rFonts w:ascii="宋体" w:hAnsi="宋体" w:eastAsia="宋体"/>
          <w:b w:val="0"/>
          <w:i w:val="0"/>
          <w:color w:val="2C2C2A"/>
          <w:sz w:val="24"/>
        </w:rPr>
        <w:t>。规则计数命中 / 放弃，超过 3 次未命中即触发“关键词检索路径”回归；模型对放弃原因做语义归因（是匹配差、资产差、还是需求太怪）。</w:t>
      </w:r>
    </w:p>
    <w:p>
      <w:pPr>
        <w:spacing w:before="120" w:after="120" w:line="360" w:lineRule="auto"/>
        <w:ind w:firstLine="480"/>
        <w:jc w:val="both"/>
      </w:pPr>
      <w:r>
        <w:rPr>
          <w:rFonts w:ascii="宋体" w:hAnsi="宋体" w:eastAsia="宋体"/>
          <w:b w:val="0"/>
          <w:i w:val="0"/>
          <w:color w:val="2C2C2A"/>
          <w:sz w:val="24"/>
        </w:rPr>
        <w:t>为什么：“3 次即放弃”是明确阈值，用规则；“为什么放弃”是模糊归因，用模型，回填到资产质量与需求侧洞察。</w:t>
      </w:r>
    </w:p>
    <w:p>
      <w:pPr>
        <w:keepNext/>
        <w:spacing w:before="240" w:after="120" w:line="360" w:lineRule="auto"/>
      </w:pPr>
      <w:r>
        <w:rPr>
          <w:rFonts w:ascii="黑体" w:hAnsi="黑体" w:eastAsia="黑体"/>
          <w:b/>
          <w:i w:val="0"/>
          <w:color w:val="185FA5"/>
          <w:sz w:val="30"/>
        </w:rPr>
        <w:t>3.10 阶段⑩ 数据回流与质量更新</w:t>
      </w:r>
    </w:p>
    <w:p>
      <w:pPr>
        <w:spacing w:before="120" w:after="120" w:line="360" w:lineRule="auto"/>
        <w:ind w:firstLine="480"/>
        <w:jc w:val="both"/>
      </w:pPr>
      <w:r>
        <w:rPr>
          <w:rFonts w:ascii="宋体" w:hAnsi="宋体" w:eastAsia="宋体"/>
          <w:b/>
          <w:i w:val="0"/>
          <w:color w:val="2C2C2A"/>
          <w:sz w:val="24"/>
        </w:rPr>
        <w:t>承担者：规则（收缩）+ 模型</w:t>
      </w:r>
      <w:r>
        <w:rPr>
          <w:rFonts w:ascii="宋体" w:hAnsi="宋体" w:eastAsia="宋体"/>
          <w:b w:val="0"/>
          <w:i w:val="0"/>
          <w:color w:val="2C2C2A"/>
          <w:sz w:val="24"/>
        </w:rPr>
        <w:t>。新行为数据回流，规则执行 P1 的贝叶斯收缩（Q̂ = w(N)·Q_行为 + (1−w(N))·Q_内容先验）更新基础质量；模型对内容变更重新注述、校准内容维度。</w:t>
      </w:r>
    </w:p>
    <w:p>
      <w:pPr>
        <w:spacing w:before="120" w:after="120" w:line="360" w:lineRule="auto"/>
        <w:ind w:firstLine="480"/>
        <w:jc w:val="both"/>
      </w:pPr>
      <w:r>
        <w:rPr>
          <w:rFonts w:ascii="宋体" w:hAnsi="宋体" w:eastAsia="宋体"/>
          <w:b w:val="0"/>
          <w:i w:val="0"/>
          <w:color w:val="2C2C2A"/>
          <w:sz w:val="24"/>
        </w:rPr>
        <w:t>为什么：权重更新与收缩是确定性运算，规则算最稳；内容维度若发生变更（创作者改描述），需模型重新评估，二者互补。</w:t>
      </w:r>
    </w:p>
    <w:p>
      <w:pPr>
        <w:keepNext/>
        <w:spacing w:before="320" w:after="240" w:line="360" w:lineRule="auto"/>
        <w:jc w:val="center"/>
      </w:pPr>
      <w:r>
        <w:rPr>
          <w:rFonts w:ascii="黑体" w:hAnsi="黑体" w:eastAsia="黑体"/>
          <w:b/>
          <w:i w:val="0"/>
          <w:color w:val="0C447C"/>
          <w:sz w:val="36"/>
        </w:rPr>
        <w:t>四、关键机制专题</w:t>
      </w:r>
    </w:p>
    <w:p>
      <w:pPr>
        <w:keepNext/>
        <w:spacing w:before="240" w:after="120" w:line="360" w:lineRule="auto"/>
      </w:pPr>
      <w:r>
        <w:rPr>
          <w:rFonts w:ascii="黑体" w:hAnsi="黑体" w:eastAsia="黑体"/>
          <w:b/>
          <w:i w:val="0"/>
          <w:color w:val="185FA5"/>
          <w:sz w:val="30"/>
        </w:rPr>
        <w:t>4.1 反马太的工程落点</w:t>
      </w:r>
    </w:p>
    <w:p>
      <w:pPr>
        <w:spacing w:before="120" w:after="120" w:line="360" w:lineRule="auto"/>
        <w:ind w:firstLine="480"/>
        <w:jc w:val="both"/>
      </w:pPr>
      <w:r>
        <w:rPr>
          <w:rFonts w:ascii="宋体" w:hAnsi="宋体" w:eastAsia="宋体"/>
          <w:b w:val="0"/>
          <w:i w:val="0"/>
          <w:color w:val="2C2C2A"/>
          <w:sz w:val="24"/>
        </w:rPr>
        <w:t>链路对长尾提供两道保护：阶段⑥ 探索 / 利用（给长尾“被试一次”的机会）+ 阶段⑦ 稀缺豁免（内容先验合格即条件放行）。二者共同保证“达标长尾有资格被看见”，而非被头部虹吸埋没。</w:t>
      </w:r>
    </w:p>
    <w:p>
      <w:pPr>
        <w:keepNext/>
        <w:spacing w:before="240" w:after="120" w:line="360" w:lineRule="auto"/>
      </w:pPr>
      <w:r>
        <w:rPr>
          <w:rFonts w:ascii="黑体" w:hAnsi="黑体" w:eastAsia="黑体"/>
          <w:b/>
          <w:i w:val="0"/>
          <w:color w:val="185FA5"/>
          <w:sz w:val="30"/>
        </w:rPr>
        <w:t>4.2 “3 次未命中→放弃”的兜底设计</w:t>
      </w:r>
    </w:p>
    <w:p>
      <w:pPr>
        <w:spacing w:before="120" w:after="120" w:line="360" w:lineRule="auto"/>
        <w:ind w:firstLine="480"/>
        <w:jc w:val="both"/>
      </w:pPr>
      <w:r>
        <w:rPr>
          <w:rFonts w:ascii="宋体" w:hAnsi="宋体" w:eastAsia="宋体"/>
          <w:b w:val="0"/>
          <w:i w:val="0"/>
          <w:color w:val="2C2C2A"/>
          <w:sz w:val="24"/>
        </w:rPr>
        <w:t>在阶段⑨设置“命中判断”：若用户采纳命中（继续对话 / 使用），视为命中；若连续 3 次匹配都未获采纳，则：① 回退到关键词检索路径；② 将本次需求标记为“未覆盖需求”，供需求洞察与创作者激励（“谁来做这个缺口”）。这既护住用户体验，又给生态提供了“供给缺口”信号。</w:t>
      </w:r>
    </w:p>
    <w:p>
      <w:pPr>
        <w:keepNext/>
        <w:spacing w:before="240" w:after="120" w:line="360" w:lineRule="auto"/>
      </w:pPr>
      <w:r>
        <w:rPr>
          <w:rFonts w:ascii="黑体" w:hAnsi="黑体" w:eastAsia="黑体"/>
          <w:b/>
          <w:i w:val="0"/>
          <w:color w:val="185FA5"/>
          <w:sz w:val="30"/>
        </w:rPr>
        <w:t>4.3 人机衔接：哪些必须人看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35"/>
            <w:shd w:fill="185F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1"/>
              </w:rPr>
              <w:t>裁量</w:t>
            </w:r>
          </w:p>
        </w:tc>
        <w:tc>
          <w:tcPr>
            <w:tcW w:type="dxa" w:w="2268"/>
            <w:shd w:fill="185F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1"/>
              </w:rPr>
              <w:t>承担者</w:t>
            </w:r>
          </w:p>
        </w:tc>
        <w:tc>
          <w:tcPr>
            <w:tcW w:type="dxa" w:w="3969"/>
            <w:shd w:fill="185F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1"/>
              </w:rPr>
              <w:t>为什么必须人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清退资产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人工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不可逆、涉创作者权益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争议 / 申诉复核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人工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公平仲裁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稀缺豁免复核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人工（抽检）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防止稀缺因子被滥用伪造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生态调参（k/β/α）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人 + 模型建议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影响全局生态，需人拍板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金标准评测抽检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人（抽检）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校准模型评分，保证锚点独立</w:t>
            </w:r>
          </w:p>
        </w:tc>
      </w:tr>
    </w:tbl>
    <w:p>
      <w:pPr>
        <w:spacing w:after="80"/>
      </w:pPr>
    </w:p>
    <w:p>
      <w:pPr>
        <w:keepNext/>
        <w:spacing w:before="240" w:after="120" w:line="360" w:lineRule="auto"/>
      </w:pPr>
      <w:r>
        <w:rPr>
          <w:rFonts w:ascii="黑体" w:hAnsi="黑体" w:eastAsia="黑体"/>
          <w:b/>
          <w:i w:val="0"/>
          <w:color w:val="185FA5"/>
          <w:sz w:val="30"/>
        </w:rPr>
        <w:t>4.4 人工升级触发器（何时自动上报给人）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1928"/>
            <w:shd w:fill="185F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1"/>
              </w:rPr>
              <w:t>升级触发</w:t>
            </w:r>
          </w:p>
        </w:tc>
        <w:tc>
          <w:tcPr>
            <w:tcW w:type="dxa" w:w="3175"/>
            <w:shd w:fill="185F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1"/>
              </w:rPr>
              <w:t>自动上报给人工的判据（量化）</w:t>
            </w:r>
          </w:p>
        </w:tc>
        <w:tc>
          <w:tcPr>
            <w:tcW w:type="dxa" w:w="1928"/>
            <w:shd w:fill="185F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1"/>
              </w:rPr>
              <w:t>升级对象</w:t>
            </w:r>
          </w:p>
        </w:tc>
        <w:tc>
          <w:tcPr>
            <w:tcW w:type="dxa" w:w="2041"/>
            <w:shd w:fill="185F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1"/>
              </w:rPr>
              <w:t>交付时效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清退资产</w:t>
            </w:r>
          </w:p>
        </w:tc>
        <w:tc>
          <w:tcPr>
            <w:tcW w:type="dxa" w:w="317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连续 30 天失败率 &gt;0.15 且命中率 &lt;0.05（对齐 P1 门禁参数 6.2.1）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人工终裁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SLA 48h，可申诉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争议 / 申诉复核</w:t>
            </w:r>
          </w:p>
        </w:tc>
        <w:tc>
          <w:tcPr>
            <w:tcW w:type="dxa" w:w="317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创作者就清退 / 评分发起申诉，或评分出现突发异常（单日骤降 &gt;0.3）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人工仲裁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SLA 72h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稀缺豁免复核</w:t>
            </w:r>
          </w:p>
        </w:tc>
        <w:tc>
          <w:tcPr>
            <w:tcW w:type="dxa" w:w="317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稀缺度 ≥0.8 触发豁免，经抽检防伪造/拆分滥用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人工抽检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抽样 ≥10%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生态调参（k/β/α）</w:t>
            </w:r>
          </w:p>
        </w:tc>
        <w:tc>
          <w:tcPr>
            <w:tcW w:type="dxa" w:w="317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探索池命中率异常、或护栏指标越线需回调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人拍板 + 模型建议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复核期 1 周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金标准评测抽检</w:t>
            </w:r>
          </w:p>
        </w:tc>
        <w:tc>
          <w:tcPr>
            <w:tcW w:type="dxa" w:w="317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周期性抽检测试集，校准模型评分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人工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每周期抽 500 条</w:t>
            </w:r>
          </w:p>
        </w:tc>
      </w:tr>
    </w:tbl>
    <w:p>
      <w:pPr>
        <w:spacing w:after="80"/>
      </w:pPr>
    </w:p>
    <w:p>
      <w:pPr>
        <w:keepNext/>
        <w:spacing w:before="240" w:after="120" w:line="360" w:lineRule="auto"/>
      </w:pPr>
      <w:r>
        <w:rPr>
          <w:rFonts w:ascii="黑体" w:hAnsi="黑体" w:eastAsia="黑体"/>
          <w:b/>
          <w:i w:val="0"/>
          <w:color w:val="185FA5"/>
          <w:sz w:val="30"/>
        </w:rPr>
        <w:t>4.5 阶段 × 降级预案（主用不可用 / 失败时）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1814"/>
            <w:shd w:fill="185F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1"/>
              </w:rPr>
              <w:t>阶段</w:t>
            </w:r>
          </w:p>
        </w:tc>
        <w:tc>
          <w:tcPr>
            <w:tcW w:type="dxa" w:w="2041"/>
            <w:shd w:fill="185F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1"/>
              </w:rPr>
              <w:t>主承担者</w:t>
            </w:r>
          </w:p>
        </w:tc>
        <w:tc>
          <w:tcPr>
            <w:tcW w:type="dxa" w:w="5216"/>
            <w:shd w:fill="185F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1"/>
              </w:rPr>
              <w:t>降级预案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① 需求理解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模型</w:t>
            </w:r>
          </w:p>
        </w:tc>
        <w:tc>
          <w:tcPr>
            <w:tcW w:type="dxa" w:w="521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模型不可用 → 关键词槽位 + 预设规则 + 系统预设意图兜底；仍失败则回退搜索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② 需求画像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模型</w:t>
            </w:r>
          </w:p>
        </w:tc>
        <w:tc>
          <w:tcPr>
            <w:tcW w:type="dxa" w:w="521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模型不可用 → 按关键词直出维度的规则向量（≈P3 离线近似）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③ 候选召回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规则 + 模型</w:t>
            </w:r>
          </w:p>
        </w:tc>
        <w:tc>
          <w:tcPr>
            <w:tcW w:type="dxa" w:w="521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语义召回失败 → 规则资格过滤 + 关键词直查召回头部与探索池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④ 语境适配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模型</w:t>
            </w:r>
          </w:p>
        </w:tc>
        <w:tc>
          <w:tcPr>
            <w:tcW w:type="dxa" w:w="521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模型不可用 → 用规则余弦近似（降为离线语义）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⑤ 质量排序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规则</w:t>
            </w:r>
          </w:p>
        </w:tc>
        <w:tc>
          <w:tcPr>
            <w:tcW w:type="dxa" w:w="521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确定性乘法，无降级；公式异常时回退为“仅按语境适配排序”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⑥ 探索/利用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规则</w:t>
            </w:r>
          </w:p>
        </w:tc>
        <w:tc>
          <w:tcPr>
            <w:tcW w:type="dxa" w:w="521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无降级；β=0 即关闭探索、回退纯利用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⑦ 门禁裁定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规则 + 模型 + 人</w:t>
            </w:r>
          </w:p>
        </w:tc>
        <w:tc>
          <w:tcPr>
            <w:tcW w:type="dxa" w:w="521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模型分缺失 → 仅用规则硬下限；人工不可用 → 先保守拦截，待复核后放行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⑧ 分发执行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规则 + 模型</w:t>
            </w:r>
          </w:p>
        </w:tc>
        <w:tc>
          <w:tcPr>
            <w:tcW w:type="dxa" w:w="521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模型推荐语不可用 → 仅投递 top-k、不带说明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⑨ 反馈闭环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规则 + 模型</w:t>
            </w:r>
          </w:p>
        </w:tc>
        <w:tc>
          <w:tcPr>
            <w:tcW w:type="dxa" w:w="521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模型归因不可用 → 仅由规则计数命中 / 放弃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⑩ 数据回流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规则 + 模型</w:t>
            </w:r>
          </w:p>
        </w:tc>
        <w:tc>
          <w:tcPr>
            <w:tcW w:type="dxa" w:w="521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模型内容校准不可用 → 仅做行为侧的贝叶斯收缩</w:t>
            </w:r>
          </w:p>
        </w:tc>
      </w:tr>
    </w:tbl>
    <w:p>
      <w:pPr>
        <w:spacing w:after="80"/>
      </w:pPr>
    </w:p>
    <w:p>
      <w:pPr>
        <w:keepNext/>
        <w:spacing w:before="240" w:after="120" w:line="360" w:lineRule="auto"/>
      </w:pPr>
      <w:r>
        <w:rPr>
          <w:rFonts w:ascii="黑体" w:hAnsi="黑体" w:eastAsia="黑体"/>
          <w:b/>
          <w:i w:val="0"/>
          <w:color w:val="185FA5"/>
          <w:sz w:val="30"/>
        </w:rPr>
        <w:t>4.6 命中 / 放弃计数口径与回灌分层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1814"/>
            <w:shd w:fill="185F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1"/>
              </w:rPr>
              <w:t>信号</w:t>
            </w:r>
          </w:p>
        </w:tc>
        <w:tc>
          <w:tcPr>
            <w:tcW w:type="dxa" w:w="3175"/>
            <w:shd w:fill="185F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1"/>
              </w:rPr>
              <w:t>计数口径（什么算命中/放弃）</w:t>
            </w:r>
          </w:p>
        </w:tc>
        <w:tc>
          <w:tcPr>
            <w:tcW w:type="dxa" w:w="3628"/>
            <w:shd w:fill="185F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1"/>
              </w:rPr>
              <w:t>回灌去向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命中（采纳）</w:t>
            </w:r>
          </w:p>
        </w:tc>
        <w:tc>
          <w:tcPr>
            <w:tcW w:type="dxa" w:w="317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命中后用户继续对话 / 使用 / 下钻，计 1 次命中</w:t>
            </w:r>
          </w:p>
        </w:tc>
        <w:tc>
          <w:tcPr>
            <w:tcW w:type="dxa" w:w="36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资产质量·行为侧 Q_行为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放弃（未命中）</w:t>
            </w:r>
          </w:p>
        </w:tc>
        <w:tc>
          <w:tcPr>
            <w:tcW w:type="dxa" w:w="317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命中后无任何后续行为、或明确拒绝，计 1 次放弃</w:t>
            </w:r>
          </w:p>
        </w:tc>
        <w:tc>
          <w:tcPr>
            <w:tcW w:type="dxa" w:w="36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资产失败率；需求侧“短板簇”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三次未命中</w:t>
            </w:r>
          </w:p>
        </w:tc>
        <w:tc>
          <w:tcPr>
            <w:tcW w:type="dxa" w:w="317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连续 3 次匹配命中=0 → 触发关键词路径回归</w:t>
            </w:r>
          </w:p>
        </w:tc>
        <w:tc>
          <w:tcPr>
            <w:tcW w:type="dxa" w:w="36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需求“未覆盖”标记 → 供给缺口信号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中断 / 超时</w:t>
            </w:r>
          </w:p>
        </w:tc>
        <w:tc>
          <w:tcPr>
            <w:tcW w:type="dxa" w:w="317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上下文被切走、超时未响应，计为“不确定”，不计入命中或放弃</w:t>
            </w:r>
          </w:p>
        </w:tc>
        <w:tc>
          <w:tcPr>
            <w:tcW w:type="dxa" w:w="36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仅记录，暂不入质量分（防噪声）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成功 token 消耗</w:t>
            </w:r>
          </w:p>
        </w:tc>
        <w:tc>
          <w:tcPr>
            <w:tcW w:type="dxa" w:w="317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每成功任务的 token 数</w:t>
            </w:r>
          </w:p>
        </w:tc>
        <w:tc>
          <w:tcPr>
            <w:tcW w:type="dxa" w:w="36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成本效率维度</w:t>
            </w:r>
          </w:p>
        </w:tc>
      </w:tr>
    </w:tbl>
    <w:p>
      <w:pPr>
        <w:spacing w:after="80"/>
      </w:pPr>
    </w:p>
    <w:p>
      <w:pPr>
        <w:spacing w:before="120" w:after="120" w:line="360" w:lineRule="auto"/>
        <w:ind w:firstLine="480"/>
        <w:jc w:val="both"/>
      </w:pPr>
      <w:r>
        <w:rPr>
          <w:rFonts w:ascii="宋体" w:hAnsi="宋体" w:eastAsia="宋体"/>
          <w:b w:val="0"/>
          <w:i w:val="0"/>
          <w:color w:val="2C2C2A"/>
          <w:sz w:val="24"/>
        </w:rPr>
        <w:t>分层回灌的核心是不把“一次噪音”算成质量信号：命中 / 放弃才进 Q_行为；中断超时只记录、不进分；三次未命中进需求侧</w:t>
      </w:r>
      <w:r>
        <w:rPr>
          <w:rFonts w:ascii="宋体" w:hAnsi="宋体" w:eastAsia="宋体"/>
          <w:b/>
          <w:i w:val="0"/>
          <w:color w:val="2C2C2A"/>
          <w:sz w:val="24"/>
        </w:rPr>
        <w:t>而不仅是资产侧</w:t>
      </w:r>
      <w:r>
        <w:rPr>
          <w:rFonts w:ascii="宋体" w:hAnsi="宋体" w:eastAsia="宋体"/>
          <w:b w:val="0"/>
          <w:i w:val="0"/>
          <w:color w:val="2C2C2A"/>
          <w:sz w:val="24"/>
        </w:rPr>
        <w:t>——这样资产质量不受“需求太怪”的连带惩罚，才是对长尾公平的健康反馈.</w:t>
      </w:r>
    </w:p>
    <w:p>
      <w:pPr>
        <w:keepNext/>
        <w:spacing w:before="320" w:after="240" w:line="360" w:lineRule="auto"/>
        <w:jc w:val="center"/>
      </w:pPr>
      <w:r>
        <w:rPr>
          <w:rFonts w:ascii="黑体" w:hAnsi="黑体" w:eastAsia="黑体"/>
          <w:b/>
          <w:i w:val="0"/>
          <w:color w:val="0C447C"/>
          <w:sz w:val="36"/>
        </w:rPr>
        <w:t>五、与 P1 / P3 / P4 的衔接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2948"/>
            <w:shd w:fill="185F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1"/>
              </w:rPr>
              <w:t>衔接对象</w:t>
            </w:r>
          </w:p>
        </w:tc>
        <w:tc>
          <w:tcPr>
            <w:tcW w:type="dxa" w:w="6123"/>
            <w:shd w:fill="185F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1"/>
              </w:rPr>
              <w:t>本设计提供 / 消费</w:t>
            </w:r>
          </w:p>
        </w:tc>
      </w:tr>
      <w:tr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P1《质量评估框架》</w:t>
            </w:r>
          </w:p>
        </w:tc>
        <w:tc>
          <w:tcPr>
            <w:tcW w:type="dxa" w:w="6123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消费：基础质量分、语境适配度、生态因子、门禁状态、生命周期</w:t>
            </w:r>
          </w:p>
        </w:tc>
      </w:tr>
      <w:tr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P3《可交互原型》</w:t>
            </w:r>
          </w:p>
        </w:tc>
        <w:tc>
          <w:tcPr>
            <w:tcW w:type="dxa" w:w="6123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提供：阶段矩阵，原型据此实现“需求→召回→排序→命中”的可视化流程</w:t>
            </w:r>
          </w:p>
        </w:tc>
      </w:tr>
      <w:tr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P4《效果指标》</w:t>
            </w:r>
          </w:p>
        </w:tc>
        <w:tc>
          <w:tcPr>
            <w:tcW w:type="dxa" w:w="6123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提供：阶段⑥探索量、阶段⑨命中/放弃计数等可观测信号，供指标度量</w:t>
            </w:r>
          </w:p>
        </w:tc>
      </w:tr>
      <w:tr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加分项（马太抑制）</w:t>
            </w:r>
          </w:p>
        </w:tc>
        <w:tc>
          <w:tcPr>
            <w:tcW w:type="dxa" w:w="6123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承载：探索/利用决策 + 稀缺豁免，作为其机制落点</w:t>
            </w:r>
          </w:p>
        </w:tc>
      </w:tr>
    </w:tbl>
    <w:p>
      <w:pPr>
        <w:spacing w:after="80"/>
      </w:pPr>
    </w:p>
    <w:p>
      <w:pPr>
        <w:keepNext/>
        <w:spacing w:before="320" w:after="240" w:line="360" w:lineRule="auto"/>
        <w:jc w:val="center"/>
      </w:pPr>
      <w:r>
        <w:rPr>
          <w:rFonts w:ascii="黑体" w:hAnsi="黑体" w:eastAsia="黑体"/>
          <w:b/>
          <w:i w:val="0"/>
          <w:color w:val="0C447C"/>
          <w:sz w:val="36"/>
        </w:rPr>
        <w:t>六、结论</w:t>
      </w:r>
    </w:p>
    <w:p>
      <w:pPr>
        <w:spacing w:before="120" w:after="120" w:line="360" w:lineRule="auto"/>
        <w:ind w:firstLine="480"/>
        <w:jc w:val="both"/>
      </w:pPr>
      <w:r>
        <w:rPr>
          <w:rFonts w:ascii="宋体" w:hAnsi="宋体" w:eastAsia="宋体"/>
          <w:b w:val="0"/>
          <w:i w:val="0"/>
          <w:color w:val="2C2C2A"/>
          <w:sz w:val="24"/>
        </w:rPr>
        <w:t>本设计把“自然语言需求 → 资产命中”组织为 10 阶段链路，用“模型 / 规则 / 人”的判断分工原则（语义归模型、确定性归规则、不可逆归人）逐一定义承担者与理由；通过探索 / 利用与稀缺豁免实现对长尾的保护，用“3 次未命中→回归关键词”兜底体验与供给缺口信号，并给出人机升级触发器、阶段降级预案与命中/放弃的计入口径与回灌分层。它完整承接 P1 的质量基座，并为 P3 原型与 P4 指标提供工程骨架。</w:t>
      </w:r>
    </w:p>
    <w:sectPr w:rsidR="00FC693F" w:rsidRPr="0006063C" w:rsidSect="00034616">
      <w:footerReference w:type="default" r:id="rId9"/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i w:val="0"/>
        <w:color w:val="5F5E5A"/>
        <w:sz w:val="21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color w:val="2C2C2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