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center"/>
      </w:pPr>
      <w:r>
        <w:rPr>
          <w:rFonts w:ascii="黑体" w:hAnsi="黑体" w:eastAsia="黑体"/>
          <w:b/>
          <w:i w:val="0"/>
          <w:color w:val="0C447C"/>
          <w:sz w:val="52"/>
        </w:rPr>
        <w:t>马太效应抑制策略</w:t>
      </w:r>
    </w:p>
    <w:p>
      <w:pPr>
        <w:spacing w:after="800"/>
        <w:jc w:val="center"/>
      </w:pPr>
      <w:r>
        <w:rPr>
          <w:rFonts w:ascii="宋体" w:hAnsi="宋体" w:eastAsia="宋体"/>
          <w:b/>
          <w:i w:val="0"/>
          <w:color w:val="185FA5"/>
          <w:sz w:val="26"/>
        </w:rPr>
        <w:t>——WorkBuddy 开放 Agent 生态 · 生态治理（加分项）——</w:t>
      </w:r>
    </w:p>
    <w:p>
      <w:pPr>
        <w:spacing w:after="1600"/>
        <w:jc w:val="center"/>
      </w:pPr>
      <w:r>
        <w:rPr>
          <w:rFonts w:ascii="宋体" w:hAnsi="宋体" w:eastAsia="宋体"/>
          <w:b w:val="0"/>
          <w:i/>
          <w:color w:val="5F5E5A"/>
          <w:sz w:val="24"/>
        </w:rPr>
        <w:t>在不损害长尾创作者可见性的前提下，识别并抑制“头部资产被反复推荐”的马太效应</w:t>
      </w:r>
    </w:p>
    <w:tbl>
      <w:tblPr>
        <w:tblStyle w:val="TableGrid"/>
        <w:tblW w:type="auto" w:w="0"/>
        <w:jc w:val="center"/>
        <w:tblLook w:firstColumn="1" w:firstRow="1" w:lastColumn="0" w:lastRow="0" w:noHBand="0" w:noVBand="1" w:val="04A0"/>
      </w:tblPr>
      <w:tblGrid>
        <w:gridCol w:w="4323"/>
        <w:gridCol w:w="4323"/>
      </w:tblGrid>
      <w:tr>
        <w:tc>
          <w:tcPr>
            <w:tcW w:type="dxa" w:w="1814"/>
            <w:shd w:fill="185FA5"/>
          </w:tcPr>
          <w:p>
            <w:pPr>
              <w:jc w:val="center"/>
            </w:pPr>
            <w:r/>
            <w:r>
              <w:rPr>
                <w:rFonts w:ascii="黑体" w:hAnsi="黑体" w:eastAsia="黑体"/>
                <w:b/>
                <w:i w:val="0"/>
                <w:color w:val="FFFFFF"/>
                <w:sz w:val="21"/>
              </w:rPr>
              <w:t>项目</w:t>
            </w:r>
          </w:p>
        </w:tc>
        <w:tc>
          <w:tcPr>
            <w:tcW w:type="dxa" w:w="6520"/>
            <w:shd w:fill="185FA5"/>
          </w:tcPr>
          <w:p>
            <w:pPr>
              <w:jc w:val="center"/>
            </w:pPr>
            <w:r/>
            <w:r>
              <w:rPr>
                <w:rFonts w:ascii="黑体" w:hAnsi="黑体" w:eastAsia="黑体"/>
                <w:b/>
                <w:i w:val="0"/>
                <w:color w:val="FFFFFF"/>
                <w:sz w:val="21"/>
              </w:rPr>
              <w:t>内容</w:t>
            </w:r>
          </w:p>
        </w:tc>
      </w:tr>
      <w:tr>
        <w:tc>
          <w:tcPr>
            <w:tcW w:type="dxa" w:w="1814"/>
          </w:tcPr>
          <w:p>
            <w:pPr>
              <w:jc w:val="left"/>
            </w:pPr>
            <w:r/>
            <w:r>
              <w:rPr>
                <w:rFonts w:ascii="宋体" w:hAnsi="宋体" w:eastAsia="宋体"/>
                <w:b w:val="0"/>
                <w:i w:val="0"/>
                <w:color w:val="2C2C2A"/>
                <w:sz w:val="21"/>
              </w:rPr>
              <w:t>文档名称</w:t>
            </w:r>
          </w:p>
        </w:tc>
        <w:tc>
          <w:tcPr>
            <w:tcW w:type="dxa" w:w="6520"/>
          </w:tcPr>
          <w:p>
            <w:pPr>
              <w:jc w:val="left"/>
            </w:pPr>
            <w:r/>
            <w:r>
              <w:rPr>
                <w:rFonts w:ascii="宋体" w:hAnsi="宋体" w:eastAsia="宋体"/>
                <w:b w:val="0"/>
                <w:i w:val="0"/>
                <w:color w:val="2C2C2A"/>
                <w:sz w:val="21"/>
              </w:rPr>
              <w:t>马太效应抑制策略（生态治理 · 加分项）</w:t>
            </w:r>
          </w:p>
        </w:tc>
      </w:tr>
      <w:tr>
        <w:tc>
          <w:tcPr>
            <w:tcW w:type="dxa" w:w="1814"/>
          </w:tcPr>
          <w:p>
            <w:pPr>
              <w:jc w:val="left"/>
            </w:pPr>
            <w:r/>
            <w:r>
              <w:rPr>
                <w:rFonts w:ascii="宋体" w:hAnsi="宋体" w:eastAsia="宋体"/>
                <w:b w:val="0"/>
                <w:i w:val="0"/>
                <w:color w:val="2C2C2A"/>
                <w:sz w:val="21"/>
              </w:rPr>
              <w:t>交付类型</w:t>
            </w:r>
          </w:p>
        </w:tc>
        <w:tc>
          <w:tcPr>
            <w:tcW w:type="dxa" w:w="6520"/>
          </w:tcPr>
          <w:p>
            <w:pPr>
              <w:jc w:val="left"/>
            </w:pPr>
            <w:r/>
            <w:r>
              <w:rPr>
                <w:rFonts w:ascii="宋体" w:hAnsi="宋体" w:eastAsia="宋体"/>
                <w:b w:val="0"/>
                <w:i w:val="0"/>
                <w:color w:val="2C2C2A"/>
                <w:sz w:val="21"/>
              </w:rPr>
              <w:t>任务要求加分项：识别并抑制头部反复推荐的马太效应</w:t>
            </w:r>
          </w:p>
        </w:tc>
      </w:tr>
      <w:tr>
        <w:tc>
          <w:tcPr>
            <w:tcW w:type="dxa" w:w="1814"/>
          </w:tcPr>
          <w:p>
            <w:pPr>
              <w:jc w:val="left"/>
            </w:pPr>
            <w:r/>
            <w:r>
              <w:rPr>
                <w:rFonts w:ascii="宋体" w:hAnsi="宋体" w:eastAsia="宋体"/>
                <w:b w:val="0"/>
                <w:i w:val="0"/>
                <w:color w:val="2C2C2A"/>
                <w:sz w:val="21"/>
              </w:rPr>
              <w:t>文档定位</w:t>
            </w:r>
          </w:p>
        </w:tc>
        <w:tc>
          <w:tcPr>
            <w:tcW w:type="dxa" w:w="6520"/>
          </w:tcPr>
          <w:p>
            <w:pPr>
              <w:jc w:val="left"/>
            </w:pPr>
            <w:r/>
            <w:r>
              <w:rPr>
                <w:rFonts w:ascii="宋体" w:hAnsi="宋体" w:eastAsia="宋体"/>
                <w:b w:val="0"/>
                <w:i w:val="0"/>
                <w:color w:val="2C2C2A"/>
                <w:sz w:val="21"/>
              </w:rPr>
              <w:t>方案（生态治理 / 反马太机制 + 作用信号 + 副作用控制）</w:t>
            </w:r>
          </w:p>
        </w:tc>
      </w:tr>
      <w:tr>
        <w:tc>
          <w:tcPr>
            <w:tcW w:type="dxa" w:w="1814"/>
          </w:tcPr>
          <w:p>
            <w:pPr>
              <w:jc w:val="left"/>
            </w:pPr>
            <w:r/>
            <w:r>
              <w:rPr>
                <w:rFonts w:ascii="宋体" w:hAnsi="宋体" w:eastAsia="宋体"/>
                <w:b w:val="0"/>
                <w:i w:val="0"/>
                <w:color w:val="2C2C2A"/>
                <w:sz w:val="21"/>
              </w:rPr>
              <w:t>落点</w:t>
            </w:r>
          </w:p>
        </w:tc>
        <w:tc>
          <w:tcPr>
            <w:tcW w:type="dxa" w:w="6520"/>
          </w:tcPr>
          <w:p>
            <w:pPr>
              <w:jc w:val="left"/>
            </w:pPr>
            <w:r/>
            <w:r>
              <w:rPr>
                <w:rFonts w:ascii="宋体" w:hAnsi="宋体" w:eastAsia="宋体"/>
                <w:b w:val="0"/>
                <w:i w:val="0"/>
                <w:color w:val="2C2C2A"/>
                <w:sz w:val="21"/>
              </w:rPr>
              <w:t>机制——P2 探索/利用与 P1 稀缺豁免；信号与副作用——P4 指标</w:t>
            </w:r>
          </w:p>
        </w:tc>
      </w:tr>
      <w:tr>
        <w:tc>
          <w:tcPr>
            <w:tcW w:type="dxa" w:w="1814"/>
          </w:tcPr>
          <w:p>
            <w:pPr>
              <w:jc w:val="left"/>
            </w:pPr>
            <w:r/>
            <w:r>
              <w:rPr>
                <w:rFonts w:ascii="宋体" w:hAnsi="宋体" w:eastAsia="宋体"/>
                <w:b w:val="0"/>
                <w:i w:val="0"/>
                <w:color w:val="2C2C2A"/>
                <w:sz w:val="21"/>
              </w:rPr>
              <w:t>版本</w:t>
            </w:r>
          </w:p>
        </w:tc>
        <w:tc>
          <w:tcPr>
            <w:tcW w:type="dxa" w:w="6520"/>
          </w:tcPr>
          <w:p>
            <w:pPr>
              <w:jc w:val="left"/>
            </w:pPr>
            <w:r/>
            <w:r>
              <w:rPr>
                <w:rFonts w:ascii="宋体" w:hAnsi="宋体" w:eastAsia="宋体"/>
                <w:b w:val="0"/>
                <w:i w:val="0"/>
                <w:color w:val="2C2C2A"/>
                <w:sz w:val="21"/>
              </w:rPr>
              <w:t>V1.1</w:t>
            </w:r>
          </w:p>
        </w:tc>
      </w:tr>
      <w:tr>
        <w:tc>
          <w:tcPr>
            <w:tcW w:type="dxa" w:w="1814"/>
          </w:tcPr>
          <w:p>
            <w:pPr>
              <w:jc w:val="left"/>
            </w:pPr>
            <w:r/>
            <w:r>
              <w:rPr>
                <w:rFonts w:ascii="宋体" w:hAnsi="宋体" w:eastAsia="宋体"/>
                <w:b w:val="0"/>
                <w:i w:val="0"/>
                <w:color w:val="2C2C2A"/>
                <w:sz w:val="21"/>
              </w:rPr>
              <w:t>日期</w:t>
            </w:r>
          </w:p>
        </w:tc>
        <w:tc>
          <w:tcPr>
            <w:tcW w:type="dxa" w:w="6520"/>
          </w:tcPr>
          <w:p>
            <w:pPr>
              <w:jc w:val="left"/>
            </w:pPr>
            <w:r/>
            <w:r>
              <w:rPr>
                <w:rFonts w:ascii="宋体" w:hAnsi="宋体" w:eastAsia="宋体"/>
                <w:b w:val="0"/>
                <w:i w:val="0"/>
                <w:color w:val="2C2C2A"/>
                <w:sz w:val="21"/>
              </w:rPr>
              <w:t>2026-09-09</w:t>
            </w:r>
          </w:p>
        </w:tc>
      </w:tr>
      <w:tr>
        <w:tc>
          <w:tcPr>
            <w:tcW w:type="dxa" w:w="1814"/>
          </w:tcPr>
          <w:p>
            <w:pPr>
              <w:jc w:val="left"/>
            </w:pPr>
            <w:r/>
            <w:r>
              <w:rPr>
                <w:rFonts w:ascii="宋体" w:hAnsi="宋体" w:eastAsia="宋体"/>
                <w:b w:val="0"/>
                <w:i w:val="0"/>
                <w:color w:val="2C2C2A"/>
                <w:sz w:val="21"/>
              </w:rPr>
              <w:t>编制方式</w:t>
            </w:r>
          </w:p>
        </w:tc>
        <w:tc>
          <w:tcPr>
            <w:tcW w:type="dxa" w:w="6520"/>
          </w:tcPr>
          <w:p>
            <w:pPr>
              <w:jc w:val="left"/>
            </w:pPr>
            <w:r/>
            <w:r>
              <w:rPr>
                <w:rFonts w:ascii="宋体" w:hAnsi="宋体" w:eastAsia="宋体"/>
                <w:b w:val="0"/>
                <w:i w:val="0"/>
                <w:color w:val="2C2C2A"/>
                <w:sz w:val="21"/>
              </w:rPr>
              <w:t>AI 辅助（Claude Code）</w:t>
            </w:r>
          </w:p>
        </w:tc>
      </w:tr>
    </w:tbl>
    <w:p>
      <w:pPr>
        <w:spacing w:after="80"/>
      </w:pPr>
    </w:p>
    <w:p/>
    <w:p>
      <w:pPr>
        <w:keepNext/>
        <w:spacing w:before="320" w:after="240" w:line="360" w:lineRule="auto"/>
        <w:jc w:val="center"/>
      </w:pPr>
      <w:r>
        <w:rPr>
          <w:rFonts w:ascii="黑体" w:hAnsi="黑体" w:eastAsia="黑体"/>
          <w:b/>
          <w:i w:val="0"/>
          <w:color w:val="0C447C"/>
          <w:sz w:val="36"/>
        </w:rPr>
        <w:t>摘要</w:t>
      </w:r>
    </w:p>
    <w:p>
      <w:pPr>
        <w:spacing w:before="120" w:after="120" w:line="360" w:lineRule="auto"/>
        <w:ind w:firstLine="480"/>
        <w:jc w:val="both"/>
      </w:pPr>
      <w:r>
        <w:rPr>
          <w:rFonts w:ascii="宋体" w:hAnsi="宋体" w:eastAsia="宋体"/>
          <w:b w:val="0"/>
          <w:i w:val="0"/>
          <w:color w:val="2C2C2A"/>
          <w:sz w:val="24"/>
        </w:rPr>
        <w:t>马太效应的本质是“只利用、不探索”：头部被反复喂，尾部永远饿着，形成一个</w:t>
      </w:r>
      <w:r>
        <w:rPr>
          <w:rFonts w:ascii="宋体" w:hAnsi="宋体" w:eastAsia="宋体"/>
          <w:b/>
          <w:i w:val="0"/>
          <w:color w:val="2C2C2A"/>
          <w:sz w:val="24"/>
        </w:rPr>
        <w:t>放大失衡的自洽闭环</w:t>
      </w:r>
      <w:r>
        <w:rPr>
          <w:rFonts w:ascii="宋体" w:hAnsi="宋体" w:eastAsia="宋体"/>
          <w:b w:val="0"/>
          <w:i w:val="0"/>
          <w:color w:val="2C2C2A"/>
          <w:sz w:val="24"/>
        </w:rPr>
        <w:t>。本策略把“识别—抑制”做成一个</w:t>
      </w:r>
      <w:r>
        <w:rPr>
          <w:rFonts w:ascii="宋体" w:hAnsi="宋体" w:eastAsia="宋体"/>
          <w:b/>
          <w:i w:val="0"/>
          <w:color w:val="2C2C2A"/>
          <w:sz w:val="24"/>
        </w:rPr>
        <w:t>动态闭环</w:t>
      </w:r>
      <w:r>
        <w:rPr>
          <w:rFonts w:ascii="宋体" w:hAnsi="宋体" w:eastAsia="宋体"/>
          <w:b w:val="0"/>
          <w:i w:val="0"/>
          <w:color w:val="2C2C2A"/>
          <w:sz w:val="24"/>
        </w:rPr>
        <w:t>：先监测“马太是否在恶化”，再在分发层用【探索/利用 + 稀缺加权路由 + 重复曝光打散】加以抑制，最后用一组作用信号验证有效性、用护栏指标控制副作用。</w:t>
      </w:r>
    </w:p>
    <w:p>
      <w:pPr>
        <w:spacing w:before="160" w:after="160" w:line="360" w:lineRule="auto"/>
        <w:ind w:left="240" w:right="240"/>
        <w:pBdr>
          <w:left w:val="single" w:sz="12" w:space="8" w:color="534AB7"/>
        </w:pBdr>
      </w:pPr>
      <w:r>
        <w:rPr>
          <w:rFonts w:ascii="宋体" w:hAnsi="宋体" w:eastAsia="宋体"/>
          <w:b/>
          <w:i w:val="0"/>
          <w:color w:val="639922"/>
          <w:sz w:val="24"/>
        </w:rPr>
        <w:t>核心机制一句话：把一部分分发给不确定性更高的“达标长尾”作为“试金石”，用平台能承受的代价反哺生态多样性。稀缺度因子作为路由偏好信号，在“合格基础上的最匹配优先”里给长尾一个公平的竞争力。</w:t>
      </w:r>
    </w:p>
    <w:p>
      <w:r>
        <w:br w:type="page"/>
      </w:r>
    </w:p>
    <w:p>
      <w:pPr>
        <w:keepNext/>
        <w:spacing w:before="320" w:after="240" w:line="360" w:lineRule="auto"/>
        <w:jc w:val="center"/>
      </w:pPr>
      <w:r>
        <w:rPr>
          <w:rFonts w:ascii="黑体" w:hAnsi="黑体" w:eastAsia="黑体"/>
          <w:b/>
          <w:i w:val="0"/>
          <w:color w:val="0C447C"/>
          <w:sz w:val="36"/>
        </w:rPr>
        <w:t>一、问题界定：马太效应从哪来，怎么“识别”</w:t>
      </w:r>
    </w:p>
    <w:p>
      <w:pPr>
        <w:keepNext/>
        <w:spacing w:before="240" w:after="120" w:line="360" w:lineRule="auto"/>
      </w:pPr>
      <w:r>
        <w:rPr>
          <w:rFonts w:ascii="黑体" w:hAnsi="黑体" w:eastAsia="黑体"/>
          <w:b/>
          <w:i w:val="0"/>
          <w:color w:val="185FA5"/>
          <w:sz w:val="30"/>
        </w:rPr>
        <w:t>1.1 根源</w:t>
      </w:r>
    </w:p>
    <w:p>
      <w:pPr>
        <w:spacing w:before="40" w:after="40" w:line="360" w:lineRule="auto"/>
        <w:ind w:left="480"/>
      </w:pPr>
      <w:r>
        <w:rPr>
          <w:rFonts w:ascii="宋体" w:hAnsi="宋体" w:eastAsia="宋体"/>
          <w:b/>
          <w:i w:val="0"/>
          <w:color w:val="185FA5"/>
          <w:sz w:val="24"/>
        </w:rPr>
        <w:t>• 正反馈放大：</w:t>
      </w:r>
      <w:r>
        <w:rPr>
          <w:rFonts w:ascii="宋体" w:hAnsi="宋体" w:eastAsia="宋体"/>
          <w:b w:val="0"/>
          <w:i w:val="0"/>
          <w:color w:val="2C2C2A"/>
          <w:sz w:val="24"/>
        </w:rPr>
        <w:t>任何基于历史行为的排序都会继续强化头部；头部因曝光多而数据多、数据多而更被信任、更被信任而曝光更多。</w:t>
      </w:r>
    </w:p>
    <w:p>
      <w:pPr>
        <w:spacing w:before="40" w:after="40" w:line="360" w:lineRule="auto"/>
        <w:ind w:left="480"/>
      </w:pPr>
      <w:r>
        <w:rPr>
          <w:rFonts w:ascii="宋体" w:hAnsi="宋体" w:eastAsia="宋体"/>
          <w:b/>
          <w:i w:val="0"/>
          <w:color w:val="185FA5"/>
          <w:sz w:val="24"/>
        </w:rPr>
        <w:t>• 冷启动死锁：</w:t>
      </w:r>
      <w:r>
        <w:rPr>
          <w:rFonts w:ascii="宋体" w:hAnsi="宋体" w:eastAsia="宋体"/>
          <w:b w:val="0"/>
          <w:i w:val="0"/>
          <w:color w:val="2C2C2A"/>
          <w:sz w:val="24"/>
        </w:rPr>
        <w:t>长尾“没数据→不敢推→更没数据”，能力达标也无法进入分发；平台缺少“给未经验证者一次机会”的机制。</w:t>
      </w:r>
    </w:p>
    <w:p>
      <w:pPr>
        <w:spacing w:before="40" w:after="40" w:line="360" w:lineRule="auto"/>
        <w:ind w:left="480"/>
      </w:pPr>
      <w:r>
        <w:rPr>
          <w:rFonts w:ascii="宋体" w:hAnsi="宋体" w:eastAsia="宋体"/>
          <w:b/>
          <w:i w:val="0"/>
          <w:color w:val="185FA5"/>
          <w:sz w:val="24"/>
        </w:rPr>
        <w:t>• 评分基于流量：</w:t>
      </w:r>
      <w:r>
        <w:rPr>
          <w:rFonts w:ascii="宋体" w:hAnsi="宋体" w:eastAsia="宋体"/>
          <w:b w:val="0"/>
          <w:i w:val="0"/>
          <w:color w:val="2C2C2A"/>
          <w:sz w:val="24"/>
        </w:rPr>
        <w:t>若质量分只依赖调用量 / 评分，则头部即使非当下最优也可能被反复推荐。</w:t>
      </w:r>
    </w:p>
    <w:p>
      <w:pPr>
        <w:keepNext/>
        <w:spacing w:before="240" w:after="120" w:line="360" w:lineRule="auto"/>
      </w:pPr>
      <w:r>
        <w:rPr>
          <w:rFonts w:ascii="黑体" w:hAnsi="黑体" w:eastAsia="黑体"/>
          <w:b/>
          <w:i w:val="0"/>
          <w:color w:val="185FA5"/>
          <w:sz w:val="30"/>
        </w:rPr>
        <w:t>1.2 识别信号（阈值 + 窗口 + 基线 四元组；越过即抗衡恶化）</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2608"/>
            <w:shd w:fill="185FA5"/>
          </w:tcPr>
          <w:p>
            <w:pPr>
              <w:jc w:val="center"/>
            </w:pPr>
            <w:r/>
            <w:r>
              <w:rPr>
                <w:rFonts w:ascii="黑体" w:hAnsi="黑体" w:eastAsia="黑体"/>
                <w:b/>
                <w:i w:val="0"/>
                <w:color w:val="FFFFFF"/>
                <w:sz w:val="21"/>
              </w:rPr>
              <w:t>信号</w:t>
            </w:r>
          </w:p>
        </w:tc>
        <w:tc>
          <w:tcPr>
            <w:tcW w:type="dxa" w:w="1701"/>
            <w:shd w:fill="185FA5"/>
          </w:tcPr>
          <w:p>
            <w:pPr>
              <w:jc w:val="center"/>
            </w:pPr>
            <w:r/>
            <w:r>
              <w:rPr>
                <w:rFonts w:ascii="黑体" w:hAnsi="黑体" w:eastAsia="黑体"/>
                <w:b/>
                <w:i w:val="0"/>
                <w:color w:val="FFFFFF"/>
                <w:sz w:val="21"/>
              </w:rPr>
              <w:t>统计窗口</w:t>
            </w:r>
          </w:p>
        </w:tc>
        <w:tc>
          <w:tcPr>
            <w:tcW w:type="dxa" w:w="1701"/>
            <w:shd w:fill="185FA5"/>
          </w:tcPr>
          <w:p>
            <w:pPr>
              <w:jc w:val="center"/>
            </w:pPr>
            <w:r/>
            <w:r>
              <w:rPr>
                <w:rFonts w:ascii="黑体" w:hAnsi="黑体" w:eastAsia="黑体"/>
                <w:b/>
                <w:i w:val="0"/>
                <w:color w:val="FFFFFF"/>
                <w:sz w:val="21"/>
              </w:rPr>
              <w:t>基线（≈现状）</w:t>
            </w:r>
          </w:p>
        </w:tc>
        <w:tc>
          <w:tcPr>
            <w:tcW w:type="dxa" w:w="2494"/>
            <w:shd w:fill="185FA5"/>
          </w:tcPr>
          <w:p>
            <w:pPr>
              <w:jc w:val="center"/>
            </w:pPr>
            <w:r/>
            <w:r>
              <w:rPr>
                <w:rFonts w:ascii="黑体" w:hAnsi="黑体" w:eastAsia="黑体"/>
                <w:b/>
                <w:i w:val="0"/>
                <w:color w:val="FFFFFF"/>
                <w:sz w:val="21"/>
              </w:rPr>
              <w:t>恶化阈值（触发抑制）</w:t>
            </w:r>
          </w:p>
        </w:tc>
        <w:tc>
          <w:tcPr>
            <w:tcW w:type="dxa" w:w="1134"/>
            <w:shd w:fill="185FA5"/>
          </w:tcPr>
          <w:p>
            <w:pPr>
              <w:jc w:val="center"/>
            </w:pPr>
            <w:r/>
            <w:r>
              <w:rPr>
                <w:rFonts w:ascii="黑体" w:hAnsi="黑体" w:eastAsia="黑体"/>
                <w:b/>
                <w:i w:val="0"/>
                <w:color w:val="FFFFFF"/>
                <w:sz w:val="21"/>
              </w:rPr>
              <w:t>方向</w:t>
            </w:r>
          </w:p>
        </w:tc>
      </w:tr>
      <w:tr>
        <w:tc>
          <w:tcPr>
            <w:tcW w:type="dxa" w:w="2608"/>
          </w:tcPr>
          <w:p>
            <w:pPr>
              <w:jc w:val="left"/>
            </w:pPr>
            <w:r/>
            <w:r>
              <w:rPr>
                <w:rFonts w:ascii="宋体" w:hAnsi="宋体" w:eastAsia="宋体"/>
                <w:b w:val="0"/>
                <w:i w:val="0"/>
                <w:color w:val="2C2C2A"/>
                <w:sz w:val="21"/>
              </w:rPr>
              <w:t>分发集中度（Top5% 占分发）</w:t>
            </w:r>
          </w:p>
        </w:tc>
        <w:tc>
          <w:tcPr>
            <w:tcW w:type="dxa" w:w="1701"/>
          </w:tcPr>
          <w:p>
            <w:pPr>
              <w:jc w:val="left"/>
            </w:pPr>
            <w:r/>
            <w:r>
              <w:rPr>
                <w:rFonts w:ascii="宋体" w:hAnsi="宋体" w:eastAsia="宋体"/>
                <w:b w:val="0"/>
                <w:i w:val="0"/>
                <w:color w:val="2C2C2A"/>
                <w:sz w:val="21"/>
              </w:rPr>
              <w:t>近 14 天 / 滚动</w:t>
            </w:r>
          </w:p>
        </w:tc>
        <w:tc>
          <w:tcPr>
            <w:tcW w:type="dxa" w:w="1701"/>
          </w:tcPr>
          <w:p>
            <w:pPr>
              <w:jc w:val="left"/>
            </w:pPr>
            <w:r/>
            <w:r>
              <w:rPr>
                <w:rFonts w:ascii="宋体" w:hAnsi="宋体" w:eastAsia="宋体"/>
                <w:b w:val="0"/>
                <w:i w:val="0"/>
                <w:color w:val="2C2C2A"/>
                <w:sz w:val="21"/>
              </w:rPr>
              <w:t>82%</w:t>
            </w:r>
          </w:p>
        </w:tc>
        <w:tc>
          <w:tcPr>
            <w:tcW w:type="dxa" w:w="2494"/>
          </w:tcPr>
          <w:p>
            <w:pPr>
              <w:jc w:val="left"/>
            </w:pPr>
            <w:r/>
            <w:r>
              <w:rPr>
                <w:rFonts w:ascii="宋体" w:hAnsi="宋体" w:eastAsia="宋体"/>
                <w:b w:val="0"/>
                <w:i w:val="0"/>
                <w:color w:val="2C2C2A"/>
                <w:sz w:val="21"/>
              </w:rPr>
              <w:t>&gt;88% 或 环比 +5pp</w:t>
            </w:r>
          </w:p>
        </w:tc>
        <w:tc>
          <w:tcPr>
            <w:tcW w:type="dxa" w:w="1134"/>
          </w:tcPr>
          <w:p>
            <w:pPr>
              <w:jc w:val="left"/>
            </w:pPr>
            <w:r/>
            <w:r>
              <w:rPr>
                <w:rFonts w:ascii="宋体" w:hAnsi="宋体" w:eastAsia="宋体"/>
                <w:b w:val="0"/>
                <w:i w:val="0"/>
                <w:color w:val="2C2C2A"/>
                <w:sz w:val="21"/>
              </w:rPr>
              <w:t>↑=恶化</w:t>
            </w:r>
          </w:p>
        </w:tc>
      </w:tr>
      <w:tr>
        <w:tc>
          <w:tcPr>
            <w:tcW w:type="dxa" w:w="2608"/>
          </w:tcPr>
          <w:p>
            <w:pPr>
              <w:jc w:val="left"/>
            </w:pPr>
            <w:r/>
            <w:r>
              <w:rPr>
                <w:rFonts w:ascii="宋体" w:hAnsi="宋体" w:eastAsia="宋体"/>
                <w:b w:val="0"/>
                <w:i w:val="0"/>
                <w:color w:val="2C2C2A"/>
                <w:sz w:val="21"/>
              </w:rPr>
              <w:t>头部重复推荐率</w:t>
            </w:r>
          </w:p>
        </w:tc>
        <w:tc>
          <w:tcPr>
            <w:tcW w:type="dxa" w:w="1701"/>
          </w:tcPr>
          <w:p>
            <w:pPr>
              <w:jc w:val="left"/>
            </w:pPr>
            <w:r/>
            <w:r>
              <w:rPr>
                <w:rFonts w:ascii="宋体" w:hAnsi="宋体" w:eastAsia="宋体"/>
                <w:b w:val="0"/>
                <w:i w:val="0"/>
                <w:color w:val="2C2C2A"/>
                <w:sz w:val="21"/>
              </w:rPr>
              <w:t>近 14 天</w:t>
            </w:r>
          </w:p>
        </w:tc>
        <w:tc>
          <w:tcPr>
            <w:tcW w:type="dxa" w:w="1701"/>
          </w:tcPr>
          <w:p>
            <w:pPr>
              <w:jc w:val="left"/>
            </w:pPr>
            <w:r/>
            <w:r>
              <w:rPr>
                <w:rFonts w:ascii="宋体" w:hAnsi="宋体" w:eastAsia="宋体"/>
                <w:b w:val="0"/>
                <w:i w:val="0"/>
                <w:color w:val="2C2C2A"/>
                <w:sz w:val="21"/>
              </w:rPr>
              <w:t>45%</w:t>
            </w:r>
          </w:p>
        </w:tc>
        <w:tc>
          <w:tcPr>
            <w:tcW w:type="dxa" w:w="2494"/>
          </w:tcPr>
          <w:p>
            <w:pPr>
              <w:jc w:val="left"/>
            </w:pPr>
            <w:r/>
            <w:r>
              <w:rPr>
                <w:rFonts w:ascii="宋体" w:hAnsi="宋体" w:eastAsia="宋体"/>
                <w:b w:val="0"/>
                <w:i w:val="0"/>
                <w:color w:val="2C2C2A"/>
                <w:sz w:val="21"/>
              </w:rPr>
              <w:t>&gt;70% 或 环比 +8pp</w:t>
            </w:r>
          </w:p>
        </w:tc>
        <w:tc>
          <w:tcPr>
            <w:tcW w:type="dxa" w:w="1134"/>
          </w:tcPr>
          <w:p>
            <w:pPr>
              <w:jc w:val="left"/>
            </w:pPr>
            <w:r/>
            <w:r>
              <w:rPr>
                <w:rFonts w:ascii="宋体" w:hAnsi="宋体" w:eastAsia="宋体"/>
                <w:b w:val="0"/>
                <w:i w:val="0"/>
                <w:color w:val="2C2C2A"/>
                <w:sz w:val="21"/>
              </w:rPr>
              <w:t>↑=恶化</w:t>
            </w:r>
          </w:p>
        </w:tc>
      </w:tr>
      <w:tr>
        <w:tc>
          <w:tcPr>
            <w:tcW w:type="dxa" w:w="2608"/>
          </w:tcPr>
          <w:p>
            <w:pPr>
              <w:jc w:val="left"/>
            </w:pPr>
            <w:r/>
            <w:r>
              <w:rPr>
                <w:rFonts w:ascii="宋体" w:hAnsi="宋体" w:eastAsia="宋体"/>
                <w:b w:val="0"/>
                <w:i w:val="0"/>
                <w:color w:val="2C2C2A"/>
                <w:sz w:val="21"/>
              </w:rPr>
              <w:t>长尾召回未命中率</w:t>
            </w:r>
          </w:p>
        </w:tc>
        <w:tc>
          <w:tcPr>
            <w:tcW w:type="dxa" w:w="1701"/>
          </w:tcPr>
          <w:p>
            <w:pPr>
              <w:jc w:val="left"/>
            </w:pPr>
            <w:r/>
            <w:r>
              <w:rPr>
                <w:rFonts w:ascii="宋体" w:hAnsi="宋体" w:eastAsia="宋体"/>
                <w:b w:val="0"/>
                <w:i w:val="0"/>
                <w:color w:val="2C2C2A"/>
                <w:sz w:val="21"/>
              </w:rPr>
              <w:t>近 14 天</w:t>
            </w:r>
          </w:p>
        </w:tc>
        <w:tc>
          <w:tcPr>
            <w:tcW w:type="dxa" w:w="1701"/>
          </w:tcPr>
          <w:p>
            <w:pPr>
              <w:jc w:val="left"/>
            </w:pPr>
            <w:r/>
            <w:r>
              <w:rPr>
                <w:rFonts w:ascii="宋体" w:hAnsi="宋体" w:eastAsia="宋体"/>
                <w:b w:val="0"/>
                <w:i w:val="0"/>
                <w:color w:val="2C2C2A"/>
                <w:sz w:val="21"/>
              </w:rPr>
              <w:t>60%</w:t>
            </w:r>
          </w:p>
        </w:tc>
        <w:tc>
          <w:tcPr>
            <w:tcW w:type="dxa" w:w="2494"/>
          </w:tcPr>
          <w:p>
            <w:pPr>
              <w:jc w:val="left"/>
            </w:pPr>
            <w:r/>
            <w:r>
              <w:rPr>
                <w:rFonts w:ascii="宋体" w:hAnsi="宋体" w:eastAsia="宋体"/>
                <w:b w:val="0"/>
                <w:i w:val="0"/>
                <w:color w:val="2C2C2A"/>
                <w:sz w:val="21"/>
              </w:rPr>
              <w:t>&gt;80% 或 环比 +10pp</w:t>
            </w:r>
          </w:p>
        </w:tc>
        <w:tc>
          <w:tcPr>
            <w:tcW w:type="dxa" w:w="1134"/>
          </w:tcPr>
          <w:p>
            <w:pPr>
              <w:jc w:val="left"/>
            </w:pPr>
            <w:r/>
            <w:r>
              <w:rPr>
                <w:rFonts w:ascii="宋体" w:hAnsi="宋体" w:eastAsia="宋体"/>
                <w:b w:val="0"/>
                <w:i w:val="0"/>
                <w:color w:val="2C2C2A"/>
                <w:sz w:val="21"/>
              </w:rPr>
              <w:t>↑=恶化</w:t>
            </w:r>
          </w:p>
        </w:tc>
      </w:tr>
      <w:tr>
        <w:tc>
          <w:tcPr>
            <w:tcW w:type="dxa" w:w="2608"/>
          </w:tcPr>
          <w:p>
            <w:pPr>
              <w:jc w:val="left"/>
            </w:pPr>
            <w:r/>
            <w:r>
              <w:rPr>
                <w:rFonts w:ascii="宋体" w:hAnsi="宋体" w:eastAsia="宋体"/>
                <w:b w:val="0"/>
                <w:i w:val="0"/>
                <w:color w:val="2C2C2A"/>
                <w:sz w:val="21"/>
              </w:rPr>
              <w:t>生态多样性 Gini</w:t>
            </w:r>
          </w:p>
        </w:tc>
        <w:tc>
          <w:tcPr>
            <w:tcW w:type="dxa" w:w="1701"/>
          </w:tcPr>
          <w:p>
            <w:pPr>
              <w:jc w:val="left"/>
            </w:pPr>
            <w:r/>
            <w:r>
              <w:rPr>
                <w:rFonts w:ascii="宋体" w:hAnsi="宋体" w:eastAsia="宋体"/>
                <w:b w:val="0"/>
                <w:i w:val="0"/>
                <w:color w:val="2C2C2A"/>
                <w:sz w:val="21"/>
              </w:rPr>
              <w:t>近 14 天</w:t>
            </w:r>
          </w:p>
        </w:tc>
        <w:tc>
          <w:tcPr>
            <w:tcW w:type="dxa" w:w="1701"/>
          </w:tcPr>
          <w:p>
            <w:pPr>
              <w:jc w:val="left"/>
            </w:pPr>
            <w:r/>
            <w:r>
              <w:rPr>
                <w:rFonts w:ascii="宋体" w:hAnsi="宋体" w:eastAsia="宋体"/>
                <w:b w:val="0"/>
                <w:i w:val="0"/>
                <w:color w:val="2C2C2A"/>
                <w:sz w:val="21"/>
              </w:rPr>
              <w:t>0.62</w:t>
            </w:r>
          </w:p>
        </w:tc>
        <w:tc>
          <w:tcPr>
            <w:tcW w:type="dxa" w:w="2494"/>
          </w:tcPr>
          <w:p>
            <w:pPr>
              <w:jc w:val="left"/>
            </w:pPr>
            <w:r/>
            <w:r>
              <w:rPr>
                <w:rFonts w:ascii="宋体" w:hAnsi="宋体" w:eastAsia="宋体"/>
                <w:b w:val="0"/>
                <w:i w:val="0"/>
                <w:color w:val="2C2C2A"/>
                <w:sz w:val="21"/>
              </w:rPr>
              <w:t>&gt;0.70 或 环比 +0.05</w:t>
            </w:r>
          </w:p>
        </w:tc>
        <w:tc>
          <w:tcPr>
            <w:tcW w:type="dxa" w:w="1134"/>
          </w:tcPr>
          <w:p>
            <w:pPr>
              <w:jc w:val="left"/>
            </w:pPr>
            <w:r/>
            <w:r>
              <w:rPr>
                <w:rFonts w:ascii="宋体" w:hAnsi="宋体" w:eastAsia="宋体"/>
                <w:b w:val="0"/>
                <w:i w:val="0"/>
                <w:color w:val="2C2C2A"/>
                <w:sz w:val="21"/>
              </w:rPr>
              <w:t>↑=恶化</w:t>
            </w:r>
          </w:p>
        </w:tc>
      </w:tr>
      <w:tr>
        <w:tc>
          <w:tcPr>
            <w:tcW w:type="dxa" w:w="2608"/>
          </w:tcPr>
          <w:p>
            <w:pPr>
              <w:jc w:val="left"/>
            </w:pPr>
            <w:r/>
            <w:r>
              <w:rPr>
                <w:rFonts w:ascii="宋体" w:hAnsi="宋体" w:eastAsia="宋体"/>
                <w:b w:val="0"/>
                <w:i w:val="0"/>
                <w:color w:val="2C2C2A"/>
                <w:sz w:val="21"/>
              </w:rPr>
              <w:t>覆盖断层（未命中但需求明确的簇）</w:t>
            </w:r>
          </w:p>
        </w:tc>
        <w:tc>
          <w:tcPr>
            <w:tcW w:type="dxa" w:w="1701"/>
          </w:tcPr>
          <w:p>
            <w:pPr>
              <w:jc w:val="left"/>
            </w:pPr>
            <w:r/>
            <w:r>
              <w:rPr>
                <w:rFonts w:ascii="宋体" w:hAnsi="宋体" w:eastAsia="宋体"/>
                <w:b w:val="0"/>
                <w:i w:val="0"/>
                <w:color w:val="2C2C2A"/>
                <w:sz w:val="21"/>
              </w:rPr>
              <w:t>近 14 天</w:t>
            </w:r>
          </w:p>
        </w:tc>
        <w:tc>
          <w:tcPr>
            <w:tcW w:type="dxa" w:w="1701"/>
          </w:tcPr>
          <w:p>
            <w:pPr>
              <w:jc w:val="left"/>
            </w:pPr>
            <w:r/>
            <w:r>
              <w:rPr>
                <w:rFonts w:ascii="宋体" w:hAnsi="宋体" w:eastAsia="宋体"/>
                <w:b w:val="0"/>
                <w:i w:val="0"/>
                <w:color w:val="2C2C2A"/>
                <w:sz w:val="21"/>
              </w:rPr>
              <w:t>2~3 簇</w:t>
            </w:r>
          </w:p>
        </w:tc>
        <w:tc>
          <w:tcPr>
            <w:tcW w:type="dxa" w:w="2494"/>
          </w:tcPr>
          <w:p>
            <w:pPr>
              <w:jc w:val="left"/>
            </w:pPr>
            <w:r/>
            <w:r>
              <w:rPr>
                <w:rFonts w:ascii="宋体" w:hAnsi="宋体" w:eastAsia="宋体"/>
                <w:b w:val="0"/>
                <w:i w:val="0"/>
                <w:color w:val="2C2C2A"/>
                <w:sz w:val="21"/>
              </w:rPr>
              <w:t>新增 +20% 或 连续 2 周期存在</w:t>
            </w:r>
          </w:p>
        </w:tc>
        <w:tc>
          <w:tcPr>
            <w:tcW w:type="dxa" w:w="1134"/>
          </w:tcPr>
          <w:p>
            <w:pPr>
              <w:jc w:val="left"/>
            </w:pPr>
            <w:r/>
            <w:r>
              <w:rPr>
                <w:rFonts w:ascii="宋体" w:hAnsi="宋体" w:eastAsia="宋体"/>
                <w:b w:val="0"/>
                <w:i w:val="0"/>
                <w:color w:val="2C2C2A"/>
                <w:sz w:val="21"/>
              </w:rPr>
              <w:t>存在=机会</w:t>
            </w:r>
          </w:p>
        </w:tc>
      </w:tr>
    </w:tbl>
    <w:p>
      <w:pPr>
        <w:spacing w:after="80"/>
      </w:pPr>
    </w:p>
    <w:p>
      <w:pPr>
        <w:spacing w:before="120" w:after="120" w:line="360" w:lineRule="auto"/>
        <w:ind w:firstLine="480"/>
        <w:jc w:val="both"/>
      </w:pPr>
      <w:r>
        <w:rPr>
          <w:rFonts w:ascii="宋体" w:hAnsi="宋体" w:eastAsia="宋体"/>
          <w:b w:val="0"/>
          <w:i w:val="0"/>
          <w:color w:val="2C2C2A"/>
          <w:sz w:val="24"/>
        </w:rPr>
        <w:t>这些识别信号由</w:t>
      </w:r>
      <w:r>
        <w:rPr>
          <w:rFonts w:ascii="宋体" w:hAnsi="宋体" w:eastAsia="宋体"/>
          <w:b/>
          <w:i w:val="0"/>
          <w:color w:val="2C2C2A"/>
          <w:sz w:val="24"/>
        </w:rPr>
        <w:t>规则</w:t>
      </w:r>
      <w:r>
        <w:rPr>
          <w:rFonts w:ascii="宋体" w:hAnsi="宋体" w:eastAsia="宋体"/>
          <w:b w:val="0"/>
          <w:i w:val="0"/>
          <w:color w:val="2C2C2A"/>
          <w:sz w:val="24"/>
        </w:rPr>
        <w:t>持续计算（可枚举阈值、窗口、基线、稳定、可审计），一旦越过恶化阈值即触发抑制层。它们不依赖复杂模型，因而可作为“低门槛、可信”的早期预警；窗口与基线在上线前用 P1 金标准与小流量试点重新标定。</w:t>
      </w:r>
    </w:p>
    <w:p>
      <w:pPr>
        <w:spacing w:before="120" w:after="120" w:line="360" w:lineRule="auto"/>
        <w:ind w:firstLine="480"/>
        <w:jc w:val="both"/>
      </w:pPr>
      <w:r>
        <w:rPr>
          <w:rFonts w:ascii="宋体" w:hAnsi="宋体" w:eastAsia="宋体"/>
          <w:b/>
          <w:i w:val="0"/>
          <w:color w:val="2C2C2A"/>
          <w:sz w:val="24"/>
        </w:rPr>
        <w:t>与 P4 验收线对齐</w:t>
      </w:r>
      <w:r>
        <w:rPr>
          <w:rFonts w:ascii="宋体" w:hAnsi="宋体" w:eastAsia="宋体"/>
          <w:b w:val="0"/>
          <w:i w:val="0"/>
          <w:color w:val="2C2C2A"/>
          <w:sz w:val="24"/>
        </w:rPr>
        <w:t>：本表基线与《效果指标与口径切换方案》3.5 一致（长尾覆盖率基线 8%→目标 25%、Gini 0.62→0.50、Top5% 份额 82%→72%），保证“识别”与“验收”用同一套数值，不在两处打架。</w:t>
      </w:r>
    </w:p>
    <w:p>
      <w:pPr>
        <w:keepNext/>
        <w:spacing w:before="320" w:after="240" w:line="360" w:lineRule="auto"/>
        <w:jc w:val="center"/>
      </w:pPr>
      <w:r>
        <w:rPr>
          <w:rFonts w:ascii="黑体" w:hAnsi="黑体" w:eastAsia="黑体"/>
          <w:b/>
          <w:i w:val="0"/>
          <w:color w:val="0C447C"/>
          <w:sz w:val="36"/>
        </w:rPr>
        <w:t>二、抑制机制：识别 → 动态探索 → 稀缺加权路由 → 打散重复推荐</w:t>
      </w:r>
    </w:p>
    <w:p>
      <w:pPr>
        <w:keepNext/>
        <w:spacing w:before="240" w:after="120" w:line="360" w:lineRule="auto"/>
      </w:pPr>
      <w:r>
        <w:rPr>
          <w:rFonts w:ascii="黑体" w:hAnsi="黑体" w:eastAsia="黑体"/>
          <w:b/>
          <w:i w:val="0"/>
          <w:color w:val="185FA5"/>
          <w:sz w:val="30"/>
        </w:rPr>
        <w:t>2.1 机制总览（分层）</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814"/>
            <w:shd w:fill="185FA5"/>
          </w:tcPr>
          <w:p>
            <w:pPr>
              <w:jc w:val="center"/>
            </w:pPr>
            <w:r/>
            <w:r>
              <w:rPr>
                <w:rFonts w:ascii="黑体" w:hAnsi="黑体" w:eastAsia="黑体"/>
                <w:b/>
                <w:i w:val="0"/>
                <w:color w:val="FFFFFF"/>
                <w:sz w:val="21"/>
              </w:rPr>
              <w:t>层</w:t>
            </w:r>
          </w:p>
        </w:tc>
        <w:tc>
          <w:tcPr>
            <w:tcW w:type="dxa" w:w="3402"/>
            <w:shd w:fill="185FA5"/>
          </w:tcPr>
          <w:p>
            <w:pPr>
              <w:jc w:val="center"/>
            </w:pPr>
            <w:r/>
            <w:r>
              <w:rPr>
                <w:rFonts w:ascii="黑体" w:hAnsi="黑体" w:eastAsia="黑体"/>
                <w:b/>
                <w:i w:val="0"/>
                <w:color w:val="FFFFFF"/>
                <w:sz w:val="21"/>
              </w:rPr>
              <w:t>机制</w:t>
            </w:r>
          </w:p>
        </w:tc>
        <w:tc>
          <w:tcPr>
            <w:tcW w:type="dxa" w:w="1474"/>
            <w:shd w:fill="185FA5"/>
          </w:tcPr>
          <w:p>
            <w:pPr>
              <w:jc w:val="center"/>
            </w:pPr>
            <w:r/>
            <w:r>
              <w:rPr>
                <w:rFonts w:ascii="黑体" w:hAnsi="黑体" w:eastAsia="黑体"/>
                <w:b/>
                <w:i w:val="0"/>
                <w:color w:val="FFFFFF"/>
                <w:sz w:val="21"/>
              </w:rPr>
              <w:t>承担者</w:t>
            </w:r>
          </w:p>
        </w:tc>
        <w:tc>
          <w:tcPr>
            <w:tcW w:type="dxa" w:w="2381"/>
            <w:shd w:fill="185FA5"/>
          </w:tcPr>
          <w:p>
            <w:pPr>
              <w:jc w:val="center"/>
            </w:pPr>
            <w:r/>
            <w:r>
              <w:rPr>
                <w:rFonts w:ascii="黑体" w:hAnsi="黑体" w:eastAsia="黑体"/>
                <w:b/>
                <w:i w:val="0"/>
                <w:color w:val="FFFFFF"/>
                <w:sz w:val="21"/>
              </w:rPr>
              <w:t>说明</w:t>
            </w:r>
          </w:p>
        </w:tc>
      </w:tr>
      <w:tr>
        <w:tc>
          <w:tcPr>
            <w:tcW w:type="dxa" w:w="1814"/>
          </w:tcPr>
          <w:p>
            <w:pPr>
              <w:jc w:val="left"/>
            </w:pPr>
            <w:r/>
            <w:r>
              <w:rPr>
                <w:rFonts w:ascii="宋体" w:hAnsi="宋体" w:eastAsia="宋体"/>
                <w:b w:val="0"/>
                <w:i w:val="0"/>
                <w:color w:val="2C2C2A"/>
                <w:sz w:val="21"/>
              </w:rPr>
              <w:t>检测层</w:t>
            </w:r>
          </w:p>
        </w:tc>
        <w:tc>
          <w:tcPr>
            <w:tcW w:type="dxa" w:w="3402"/>
          </w:tcPr>
          <w:p>
            <w:pPr>
              <w:jc w:val="left"/>
            </w:pPr>
            <w:r/>
            <w:r>
              <w:rPr>
                <w:rFonts w:ascii="宋体" w:hAnsi="宋体" w:eastAsia="宋体"/>
                <w:b w:val="0"/>
                <w:i w:val="0"/>
                <w:color w:val="2C2C2A"/>
                <w:sz w:val="21"/>
              </w:rPr>
              <w:t>识别信号越限即告警</w:t>
            </w:r>
          </w:p>
        </w:tc>
        <w:tc>
          <w:tcPr>
            <w:tcW w:type="dxa" w:w="1474"/>
          </w:tcPr>
          <w:p>
            <w:pPr>
              <w:jc w:val="left"/>
            </w:pPr>
            <w:r/>
            <w:r>
              <w:rPr>
                <w:rFonts w:ascii="宋体" w:hAnsi="宋体" w:eastAsia="宋体"/>
                <w:b w:val="0"/>
                <w:i w:val="0"/>
                <w:color w:val="2C2C2A"/>
                <w:sz w:val="21"/>
              </w:rPr>
              <w:t>规则</w:t>
            </w:r>
          </w:p>
        </w:tc>
        <w:tc>
          <w:tcPr>
            <w:tcW w:type="dxa" w:w="2381"/>
          </w:tcPr>
          <w:p>
            <w:pPr>
              <w:jc w:val="left"/>
            </w:pPr>
            <w:r/>
            <w:r>
              <w:rPr>
                <w:rFonts w:ascii="宋体" w:hAnsi="宋体" w:eastAsia="宋体"/>
                <w:b w:val="0"/>
                <w:i w:val="0"/>
                <w:color w:val="2C2C2A"/>
                <w:sz w:val="21"/>
              </w:rPr>
              <w:t>监测集中度 / 头部重复 / 多样性 / 供给缺口（用 1.2 四元组）</w:t>
            </w:r>
          </w:p>
        </w:tc>
      </w:tr>
      <w:tr>
        <w:tc>
          <w:tcPr>
            <w:tcW w:type="dxa" w:w="1814"/>
          </w:tcPr>
          <w:p>
            <w:pPr>
              <w:jc w:val="left"/>
            </w:pPr>
            <w:r/>
            <w:r>
              <w:rPr>
                <w:rFonts w:ascii="宋体" w:hAnsi="宋体" w:eastAsia="宋体"/>
                <w:b w:val="0"/>
                <w:i w:val="0"/>
                <w:color w:val="2C2C2A"/>
                <w:sz w:val="21"/>
              </w:rPr>
              <w:t>探索层</w:t>
            </w:r>
          </w:p>
        </w:tc>
        <w:tc>
          <w:tcPr>
            <w:tcW w:type="dxa" w:w="3402"/>
          </w:tcPr>
          <w:p>
            <w:pPr>
              <w:jc w:val="left"/>
            </w:pPr>
            <w:r/>
            <w:r>
              <w:rPr>
                <w:rFonts w:ascii="宋体" w:hAnsi="宋体" w:eastAsia="宋体"/>
                <w:b w:val="0"/>
                <w:i w:val="0"/>
                <w:color w:val="2C2C2A"/>
                <w:sz w:val="21"/>
              </w:rPr>
              <w:t>对小概率 / 高不确定性候选施加 UCB 乐观</w:t>
            </w:r>
          </w:p>
        </w:tc>
        <w:tc>
          <w:tcPr>
            <w:tcW w:type="dxa" w:w="1474"/>
          </w:tcPr>
          <w:p>
            <w:pPr>
              <w:jc w:val="left"/>
            </w:pPr>
            <w:r/>
            <w:r>
              <w:rPr>
                <w:rFonts w:ascii="宋体" w:hAnsi="宋体" w:eastAsia="宋体"/>
                <w:b w:val="0"/>
                <w:i w:val="0"/>
                <w:color w:val="2C2C2A"/>
                <w:sz w:val="21"/>
              </w:rPr>
              <w:t>规则</w:t>
            </w:r>
          </w:p>
        </w:tc>
        <w:tc>
          <w:tcPr>
            <w:tcW w:type="dxa" w:w="2381"/>
          </w:tcPr>
          <w:p>
            <w:pPr>
              <w:jc w:val="left"/>
            </w:pPr>
            <w:r/>
            <w:r>
              <w:rPr>
                <w:rFonts w:ascii="宋体" w:hAnsi="宋体" w:eastAsia="宋体"/>
                <w:b w:val="0"/>
                <w:i w:val="0"/>
                <w:color w:val="2C2C2A"/>
                <w:sz w:val="21"/>
              </w:rPr>
              <w:t>score_路由 = Q̂ + β·√(ln t / N)，β 可控</w:t>
            </w:r>
          </w:p>
        </w:tc>
      </w:tr>
      <w:tr>
        <w:tc>
          <w:tcPr>
            <w:tcW w:type="dxa" w:w="1814"/>
          </w:tcPr>
          <w:p>
            <w:pPr>
              <w:jc w:val="left"/>
            </w:pPr>
            <w:r/>
            <w:r>
              <w:rPr>
                <w:rFonts w:ascii="宋体" w:hAnsi="宋体" w:eastAsia="宋体"/>
                <w:b w:val="0"/>
                <w:i w:val="0"/>
                <w:color w:val="2C2C2A"/>
                <w:sz w:val="21"/>
              </w:rPr>
              <w:t>稀缺加权路由</w:t>
            </w:r>
          </w:p>
        </w:tc>
        <w:tc>
          <w:tcPr>
            <w:tcW w:type="dxa" w:w="3402"/>
          </w:tcPr>
          <w:p>
            <w:pPr>
              <w:jc w:val="left"/>
            </w:pPr>
            <w:r/>
            <w:r>
              <w:rPr>
                <w:rFonts w:ascii="宋体" w:hAnsi="宋体" w:eastAsia="宋体"/>
                <w:b w:val="0"/>
                <w:i w:val="0"/>
                <w:color w:val="2C2C2A"/>
                <w:sz w:val="21"/>
              </w:rPr>
              <w:t>同质需求上，给“稀缺且合格”的长尾更高的生态增益</w:t>
            </w:r>
          </w:p>
        </w:tc>
        <w:tc>
          <w:tcPr>
            <w:tcW w:type="dxa" w:w="1474"/>
          </w:tcPr>
          <w:p>
            <w:pPr>
              <w:jc w:val="left"/>
            </w:pPr>
            <w:r/>
            <w:r>
              <w:rPr>
                <w:rFonts w:ascii="宋体" w:hAnsi="宋体" w:eastAsia="宋体"/>
                <w:b w:val="0"/>
                <w:i w:val="0"/>
                <w:color w:val="2C2C2A"/>
                <w:sz w:val="21"/>
              </w:rPr>
              <w:t>规则 + 模型</w:t>
            </w:r>
          </w:p>
        </w:tc>
        <w:tc>
          <w:tcPr>
            <w:tcW w:type="dxa" w:w="2381"/>
          </w:tcPr>
          <w:p>
            <w:pPr>
              <w:jc w:val="left"/>
            </w:pPr>
            <w:r/>
            <w:r>
              <w:rPr>
                <w:rFonts w:ascii="宋体" w:hAnsi="宋体" w:eastAsia="宋体"/>
                <w:b w:val="0"/>
                <w:i w:val="0"/>
                <w:color w:val="2C2C2A"/>
                <w:sz w:val="21"/>
              </w:rPr>
              <w:t>生态增益 = 1 + α·(稀缺度×需求缺口)，α 封顶调优</w:t>
            </w:r>
          </w:p>
        </w:tc>
      </w:tr>
      <w:tr>
        <w:tc>
          <w:tcPr>
            <w:tcW w:type="dxa" w:w="1814"/>
          </w:tcPr>
          <w:p>
            <w:pPr>
              <w:jc w:val="left"/>
            </w:pPr>
            <w:r/>
            <w:r>
              <w:rPr>
                <w:rFonts w:ascii="宋体" w:hAnsi="宋体" w:eastAsia="宋体"/>
                <w:b w:val="0"/>
                <w:i w:val="0"/>
                <w:color w:val="2C2C2A"/>
                <w:sz w:val="21"/>
              </w:rPr>
              <w:t>打散重复推荐</w:t>
            </w:r>
          </w:p>
        </w:tc>
        <w:tc>
          <w:tcPr>
            <w:tcW w:type="dxa" w:w="3402"/>
          </w:tcPr>
          <w:p>
            <w:pPr>
              <w:jc w:val="left"/>
            </w:pPr>
            <w:r/>
            <w:r>
              <w:rPr>
                <w:rFonts w:ascii="宋体" w:hAnsi="宋体" w:eastAsia="宋体"/>
                <w:b w:val="0"/>
                <w:i w:val="0"/>
                <w:color w:val="2C2C2A"/>
                <w:sz w:val="21"/>
              </w:rPr>
              <w:t>同一头部资产不因“凑合相似”连续霸占不同需求</w:t>
            </w:r>
          </w:p>
        </w:tc>
        <w:tc>
          <w:tcPr>
            <w:tcW w:type="dxa" w:w="1474"/>
          </w:tcPr>
          <w:p>
            <w:pPr>
              <w:jc w:val="left"/>
            </w:pPr>
            <w:r/>
            <w:r>
              <w:rPr>
                <w:rFonts w:ascii="宋体" w:hAnsi="宋体" w:eastAsia="宋体"/>
                <w:b w:val="0"/>
                <w:i w:val="0"/>
                <w:color w:val="2C2C2A"/>
                <w:sz w:val="21"/>
              </w:rPr>
              <w:t>规则</w:t>
            </w:r>
          </w:p>
        </w:tc>
        <w:tc>
          <w:tcPr>
            <w:tcW w:type="dxa" w:w="2381"/>
          </w:tcPr>
          <w:p>
            <w:pPr>
              <w:jc w:val="left"/>
            </w:pPr>
            <w:r/>
            <w:r>
              <w:rPr>
                <w:rFonts w:ascii="宋体" w:hAnsi="宋体" w:eastAsia="宋体"/>
                <w:b w:val="0"/>
                <w:i w:val="0"/>
                <w:color w:val="2C2C2A"/>
                <w:sz w:val="21"/>
              </w:rPr>
              <w:t>对头部设每需求簇推荐上限 / 冷却期，腾出曝光位</w:t>
            </w:r>
          </w:p>
        </w:tc>
      </w:tr>
      <w:tr>
        <w:tc>
          <w:tcPr>
            <w:tcW w:type="dxa" w:w="1814"/>
          </w:tcPr>
          <w:p>
            <w:pPr>
              <w:jc w:val="left"/>
            </w:pPr>
            <w:r/>
            <w:r>
              <w:rPr>
                <w:rFonts w:ascii="宋体" w:hAnsi="宋体" w:eastAsia="宋体"/>
                <w:b w:val="0"/>
                <w:i w:val="0"/>
                <w:color w:val="2C2C2A"/>
                <w:sz w:val="21"/>
              </w:rPr>
              <w:t>稀缺豁免</w:t>
            </w:r>
          </w:p>
        </w:tc>
        <w:tc>
          <w:tcPr>
            <w:tcW w:type="dxa" w:w="3402"/>
          </w:tcPr>
          <w:p>
            <w:pPr>
              <w:jc w:val="left"/>
            </w:pPr>
            <w:r/>
            <w:r>
              <w:rPr>
                <w:rFonts w:ascii="宋体" w:hAnsi="宋体" w:eastAsia="宋体"/>
                <w:b w:val="0"/>
                <w:i w:val="0"/>
                <w:color w:val="2C2C2A"/>
                <w:sz w:val="21"/>
              </w:rPr>
              <w:t>内容先验合格即条件放行进探索池</w:t>
            </w:r>
          </w:p>
        </w:tc>
        <w:tc>
          <w:tcPr>
            <w:tcW w:type="dxa" w:w="1474"/>
          </w:tcPr>
          <w:p>
            <w:pPr>
              <w:jc w:val="left"/>
            </w:pPr>
            <w:r/>
            <w:r>
              <w:rPr>
                <w:rFonts w:ascii="宋体" w:hAnsi="宋体" w:eastAsia="宋体"/>
                <w:b w:val="0"/>
                <w:i w:val="0"/>
                <w:color w:val="2C2C2A"/>
                <w:sz w:val="21"/>
              </w:rPr>
              <w:t>规则 + 人工复核</w:t>
            </w:r>
          </w:p>
        </w:tc>
        <w:tc>
          <w:tcPr>
            <w:tcW w:type="dxa" w:w="2381"/>
          </w:tcPr>
          <w:p>
            <w:pPr>
              <w:jc w:val="left"/>
            </w:pPr>
            <w:r/>
            <w:r>
              <w:rPr>
                <w:rFonts w:ascii="宋体" w:hAnsi="宋体" w:eastAsia="宋体"/>
                <w:b w:val="0"/>
                <w:i w:val="0"/>
                <w:color w:val="2C2C2A"/>
                <w:sz w:val="21"/>
              </w:rPr>
              <w:t>防误杀达标长尾，防稀缺被拆分滥用</w:t>
            </w:r>
          </w:p>
        </w:tc>
      </w:tr>
    </w:tbl>
    <w:p>
      <w:pPr>
        <w:spacing w:after="80"/>
      </w:pPr>
    </w:p>
    <w:p>
      <w:pPr>
        <w:keepNext/>
        <w:spacing w:before="240" w:after="120" w:line="360" w:lineRule="auto"/>
      </w:pPr>
      <w:r>
        <w:rPr>
          <w:rFonts w:ascii="黑体" w:hAnsi="黑体" w:eastAsia="黑体"/>
          <w:b/>
          <w:i w:val="0"/>
          <w:color w:val="185FA5"/>
          <w:sz w:val="30"/>
        </w:rPr>
        <w:t>2.2 在不损害长尾可见性前提下的克制</w:t>
      </w:r>
    </w:p>
    <w:p>
      <w:pPr>
        <w:spacing w:before="120" w:after="120" w:line="360" w:lineRule="auto"/>
        <w:ind w:firstLine="480"/>
        <w:jc w:val="both"/>
      </w:pPr>
      <w:r>
        <w:rPr>
          <w:rFonts w:ascii="宋体" w:hAnsi="宋体" w:eastAsia="宋体"/>
          <w:b w:val="0"/>
          <w:i w:val="0"/>
          <w:color w:val="2C2C2A"/>
          <w:sz w:val="24"/>
        </w:rPr>
        <w:t>本策略</w:t>
      </w:r>
      <w:r>
        <w:rPr>
          <w:rFonts w:ascii="宋体" w:hAnsi="宋体" w:eastAsia="宋体"/>
          <w:b/>
          <w:i w:val="0"/>
          <w:color w:val="2C2C2A"/>
          <w:sz w:val="24"/>
        </w:rPr>
        <w:t>优先保护长尾可见性</w:t>
      </w:r>
      <w:r>
        <w:rPr>
          <w:rFonts w:ascii="宋体" w:hAnsi="宋体" w:eastAsia="宋体"/>
          <w:b w:val="0"/>
          <w:i w:val="0"/>
          <w:color w:val="2C2C2A"/>
          <w:sz w:val="24"/>
        </w:rPr>
        <w:t>：探索预算保证长尾有首次曝光；稀缺加权让“恰好契合某需求”的长尾能公平竞争；打散重复推荐从头部手里“腾”出曝光位而非削减总量。它不“拉低头部”，而是</w:t>
      </w:r>
      <w:r>
        <w:rPr>
          <w:rFonts w:ascii="宋体" w:hAnsi="宋体" w:eastAsia="宋体"/>
          <w:b/>
          <w:i w:val="0"/>
          <w:color w:val="2C2C2A"/>
          <w:sz w:val="24"/>
        </w:rPr>
        <w:t>给长尾一个对等的起跑线</w:t>
      </w:r>
      <w:r>
        <w:rPr>
          <w:rFonts w:ascii="宋体" w:hAnsi="宋体" w:eastAsia="宋体"/>
          <w:b w:val="0"/>
          <w:i w:val="0"/>
          <w:color w:val="2C2C2A"/>
          <w:sz w:val="24"/>
        </w:rPr>
        <w:t>——因此不会以牺牲长尾为代价来抑制头部。</w:t>
      </w:r>
    </w:p>
    <w:p>
      <w:pPr>
        <w:keepNext/>
        <w:spacing w:before="320" w:after="240" w:line="360" w:lineRule="auto"/>
        <w:jc w:val="center"/>
      </w:pPr>
      <w:r>
        <w:rPr>
          <w:rFonts w:ascii="黑体" w:hAnsi="黑体" w:eastAsia="黑体"/>
          <w:b/>
          <w:i w:val="0"/>
          <w:color w:val="0C447C"/>
          <w:sz w:val="36"/>
        </w:rPr>
        <w:t>三、核心机制：Explore / Exploit + 稀缺偏好</w:t>
      </w:r>
    </w:p>
    <w:p>
      <w:pPr>
        <w:spacing w:before="120" w:after="120" w:line="360" w:lineRule="auto"/>
        <w:ind w:firstLine="480"/>
        <w:jc w:val="both"/>
      </w:pPr>
      <w:r>
        <w:rPr>
          <w:rFonts w:ascii="宋体" w:hAnsi="宋体" w:eastAsia="宋体"/>
          <w:b w:val="0"/>
          <w:i w:val="0"/>
          <w:color w:val="2C2C2A"/>
          <w:sz w:val="24"/>
        </w:rPr>
        <w:t>在 P2 阶段⑥，对每个候选计算“路由分”，权衡“利用已知最优”与“探索未知长尾”：</w:t>
      </w:r>
    </w:p>
    <w:p>
      <w:pPr>
        <w:spacing w:before="160" w:after="160" w:line="360" w:lineRule="auto"/>
        <w:ind w:left="240" w:right="240"/>
        <w:pBdr>
          <w:left w:val="single" w:sz="12" w:space="8" w:color="534AB7"/>
        </w:pBdr>
      </w:pPr>
      <w:r>
        <w:rPr>
          <w:rFonts w:ascii="宋体" w:hAnsi="宋体" w:eastAsia="宋体"/>
          <w:b/>
          <w:i w:val="0"/>
          <w:color w:val="534AB7"/>
          <w:sz w:val="24"/>
        </w:rPr>
        <w:t>score_路由 = Q̂ + β · √(ln t / N)</w:t>
        <w:br/>
        <w:t>最终分发 = score_路由 · (1 + α·(稀缺度 × 需求缺口))，α 封顶</w:t>
      </w:r>
    </w:p>
    <w:tbl>
      <w:tblPr>
        <w:tblStyle w:val="TableGrid"/>
        <w:tblW w:type="auto" w:w="0"/>
        <w:jc w:val="center"/>
        <w:tblLook w:firstColumn="1" w:firstRow="1" w:lastColumn="0" w:lastRow="0" w:noHBand="0" w:noVBand="1" w:val="04A0"/>
      </w:tblPr>
      <w:tblGrid>
        <w:gridCol w:w="2882"/>
        <w:gridCol w:w="2882"/>
        <w:gridCol w:w="2882"/>
      </w:tblGrid>
      <w:tr>
        <w:tc>
          <w:tcPr>
            <w:tcW w:type="dxa" w:w="2041"/>
            <w:shd w:fill="185FA5"/>
          </w:tcPr>
          <w:p>
            <w:pPr>
              <w:jc w:val="center"/>
            </w:pPr>
            <w:r/>
            <w:r>
              <w:rPr>
                <w:rFonts w:ascii="黑体" w:hAnsi="黑体" w:eastAsia="黑体"/>
                <w:b/>
                <w:i w:val="0"/>
                <w:color w:val="FFFFFF"/>
                <w:sz w:val="21"/>
              </w:rPr>
              <w:t>参数</w:t>
            </w:r>
          </w:p>
        </w:tc>
        <w:tc>
          <w:tcPr>
            <w:tcW w:type="dxa" w:w="3061"/>
            <w:shd w:fill="185FA5"/>
          </w:tcPr>
          <w:p>
            <w:pPr>
              <w:jc w:val="center"/>
            </w:pPr>
            <w:r/>
            <w:r>
              <w:rPr>
                <w:rFonts w:ascii="黑体" w:hAnsi="黑体" w:eastAsia="黑体"/>
                <w:b/>
                <w:i w:val="0"/>
                <w:color w:val="FFFFFF"/>
                <w:sz w:val="21"/>
              </w:rPr>
              <w:t>含义 / 取值</w:t>
            </w:r>
          </w:p>
        </w:tc>
        <w:tc>
          <w:tcPr>
            <w:tcW w:type="dxa" w:w="3402"/>
            <w:shd w:fill="185FA5"/>
          </w:tcPr>
          <w:p>
            <w:pPr>
              <w:jc w:val="center"/>
            </w:pPr>
            <w:r/>
            <w:r>
              <w:rPr>
                <w:rFonts w:ascii="黑体" w:hAnsi="黑体" w:eastAsia="黑体"/>
                <w:b/>
                <w:i w:val="0"/>
                <w:color w:val="FFFFFF"/>
                <w:sz w:val="21"/>
              </w:rPr>
              <w:t>调优原则</w:t>
            </w:r>
          </w:p>
        </w:tc>
      </w:tr>
      <w:tr>
        <w:tc>
          <w:tcPr>
            <w:tcW w:type="dxa" w:w="2041"/>
          </w:tcPr>
          <w:p>
            <w:pPr>
              <w:jc w:val="left"/>
            </w:pPr>
            <w:r/>
            <w:r>
              <w:rPr>
                <w:rFonts w:ascii="宋体" w:hAnsi="宋体" w:eastAsia="宋体"/>
                <w:b w:val="0"/>
                <w:i w:val="0"/>
                <w:color w:val="2C2C2A"/>
                <w:sz w:val="21"/>
              </w:rPr>
              <w:t>β（探索系数）</w:t>
            </w:r>
          </w:p>
        </w:tc>
        <w:tc>
          <w:tcPr>
            <w:tcW w:type="dxa" w:w="3061"/>
          </w:tcPr>
          <w:p>
            <w:pPr>
              <w:jc w:val="left"/>
            </w:pPr>
            <w:r/>
            <w:r>
              <w:rPr>
                <w:rFonts w:ascii="宋体" w:hAnsi="宋体" w:eastAsia="宋体"/>
                <w:b w:val="0"/>
                <w:i w:val="0"/>
                <w:color w:val="2C2C2A"/>
                <w:sz w:val="21"/>
              </w:rPr>
              <w:t>β=0.15（中等偏保守；与 P1 符号表一致）</w:t>
            </w:r>
          </w:p>
        </w:tc>
        <w:tc>
          <w:tcPr>
            <w:tcW w:type="dxa" w:w="3402"/>
          </w:tcPr>
          <w:p>
            <w:pPr>
              <w:jc w:val="left"/>
            </w:pPr>
            <w:r/>
            <w:r>
              <w:rPr>
                <w:rFonts w:ascii="宋体" w:hAnsi="宋体" w:eastAsia="宋体"/>
                <w:b w:val="0"/>
                <w:i w:val="0"/>
                <w:color w:val="2C2C2A"/>
                <w:sz w:val="21"/>
              </w:rPr>
              <w:t>随“探索池命中率”做自适应调节，命中率低则下调</w:t>
            </w:r>
          </w:p>
        </w:tc>
      </w:tr>
      <w:tr>
        <w:tc>
          <w:tcPr>
            <w:tcW w:type="dxa" w:w="2041"/>
          </w:tcPr>
          <w:p>
            <w:pPr>
              <w:jc w:val="left"/>
            </w:pPr>
            <w:r/>
            <w:r>
              <w:rPr>
                <w:rFonts w:ascii="宋体" w:hAnsi="宋体" w:eastAsia="宋体"/>
                <w:b w:val="0"/>
                <w:i w:val="0"/>
                <w:color w:val="2C2C2A"/>
                <w:sz w:val="21"/>
              </w:rPr>
              <w:t>α（稀缺权重）</w:t>
            </w:r>
          </w:p>
        </w:tc>
        <w:tc>
          <w:tcPr>
            <w:tcW w:type="dxa" w:w="3061"/>
          </w:tcPr>
          <w:p>
            <w:pPr>
              <w:jc w:val="left"/>
            </w:pPr>
            <w:r/>
            <w:r>
              <w:rPr>
                <w:rFonts w:ascii="宋体" w:hAnsi="宋体" w:eastAsia="宋体"/>
                <w:b w:val="0"/>
                <w:i w:val="0"/>
                <w:color w:val="2C2C2A"/>
                <w:sz w:val="21"/>
              </w:rPr>
              <w:t>α=0.15（默认）／膝点 0.2（多样性最优）</w:t>
            </w:r>
          </w:p>
        </w:tc>
        <w:tc>
          <w:tcPr>
            <w:tcW w:type="dxa" w:w="3402"/>
          </w:tcPr>
          <w:p>
            <w:pPr>
              <w:jc w:val="left"/>
            </w:pPr>
            <w:r/>
            <w:r>
              <w:rPr>
                <w:rFonts w:ascii="宋体" w:hAnsi="宋体" w:eastAsia="宋体"/>
                <w:b w:val="0"/>
                <w:i w:val="0"/>
                <w:color w:val="2C2C2A"/>
                <w:sz w:val="21"/>
              </w:rPr>
              <w:t>只抬升“合格之上”的稀缺，封顶防反超劣质</w:t>
            </w:r>
          </w:p>
        </w:tc>
      </w:tr>
      <w:tr>
        <w:tc>
          <w:tcPr>
            <w:tcW w:type="dxa" w:w="2041"/>
          </w:tcPr>
          <w:p>
            <w:pPr>
              <w:jc w:val="left"/>
            </w:pPr>
            <w:r/>
            <w:r>
              <w:rPr>
                <w:rFonts w:ascii="宋体" w:hAnsi="宋体" w:eastAsia="宋体"/>
                <w:b w:val="0"/>
                <w:i w:val="0"/>
                <w:color w:val="2C2C2A"/>
                <w:sz w:val="21"/>
              </w:rPr>
              <w:t>探索预算</w:t>
            </w:r>
          </w:p>
        </w:tc>
        <w:tc>
          <w:tcPr>
            <w:tcW w:type="dxa" w:w="3061"/>
          </w:tcPr>
          <w:p>
            <w:pPr>
              <w:jc w:val="left"/>
            </w:pPr>
            <w:r/>
            <w:r>
              <w:rPr>
                <w:rFonts w:ascii="宋体" w:hAnsi="宋体" w:eastAsia="宋体"/>
                <w:b w:val="0"/>
                <w:i w:val="0"/>
                <w:color w:val="2C2C2A"/>
                <w:sz w:val="21"/>
              </w:rPr>
              <w:t>每窗口保留 10% 给探索池；新资产保底 250 次（与 P1 一致）</w:t>
            </w:r>
          </w:p>
        </w:tc>
        <w:tc>
          <w:tcPr>
            <w:tcW w:type="dxa" w:w="3402"/>
          </w:tcPr>
          <w:p>
            <w:pPr>
              <w:jc w:val="left"/>
            </w:pPr>
            <w:r/>
            <w:r>
              <w:rPr>
                <w:rFonts w:ascii="宋体" w:hAnsi="宋体" w:eastAsia="宋体"/>
                <w:b w:val="0"/>
                <w:i w:val="0"/>
                <w:color w:val="2C2C2A"/>
                <w:sz w:val="21"/>
              </w:rPr>
              <w:t>据护栏指标回调</w:t>
            </w:r>
          </w:p>
        </w:tc>
      </w:tr>
      <w:tr>
        <w:tc>
          <w:tcPr>
            <w:tcW w:type="dxa" w:w="2041"/>
          </w:tcPr>
          <w:p>
            <w:pPr>
              <w:jc w:val="left"/>
            </w:pPr>
            <w:r/>
            <w:r>
              <w:rPr>
                <w:rFonts w:ascii="宋体" w:hAnsi="宋体" w:eastAsia="宋体"/>
                <w:b w:val="0"/>
                <w:i w:val="0"/>
                <w:color w:val="2C2C2A"/>
                <w:sz w:val="21"/>
              </w:rPr>
              <w:t>头部冷却期</w:t>
            </w:r>
          </w:p>
        </w:tc>
        <w:tc>
          <w:tcPr>
            <w:tcW w:type="dxa" w:w="3061"/>
          </w:tcPr>
          <w:p>
            <w:pPr>
              <w:jc w:val="left"/>
            </w:pPr>
            <w:r/>
            <w:r>
              <w:rPr>
                <w:rFonts w:ascii="宋体" w:hAnsi="宋体" w:eastAsia="宋体"/>
                <w:b w:val="0"/>
                <w:i w:val="0"/>
                <w:color w:val="2C2C2A"/>
                <w:sz w:val="21"/>
              </w:rPr>
              <w:t>同一头部在同类需求上的重复曝光间隔，按需求簇密度设定</w:t>
            </w:r>
          </w:p>
        </w:tc>
        <w:tc>
          <w:tcPr>
            <w:tcW w:type="dxa" w:w="3402"/>
          </w:tcPr>
          <w:p>
            <w:pPr>
              <w:jc w:val="left"/>
            </w:pPr>
            <w:r/>
            <w:r>
              <w:rPr>
                <w:rFonts w:ascii="宋体" w:hAnsi="宋体" w:eastAsia="宋体"/>
                <w:b w:val="0"/>
                <w:i w:val="0"/>
                <w:color w:val="2C2C2A"/>
                <w:sz w:val="21"/>
              </w:rPr>
              <w:t>防连续霸占；从不削头部总曝光</w:t>
            </w:r>
          </w:p>
        </w:tc>
      </w:tr>
    </w:tbl>
    <w:p>
      <w:pPr>
        <w:spacing w:after="80"/>
      </w:pPr>
    </w:p>
    <w:p>
      <w:pPr>
        <w:keepNext/>
        <w:spacing w:before="320" w:after="240" w:line="360" w:lineRule="auto"/>
        <w:jc w:val="center"/>
      </w:pPr>
      <w:r>
        <w:rPr>
          <w:rFonts w:ascii="黑体" w:hAnsi="黑体" w:eastAsia="黑体"/>
          <w:b/>
          <w:i w:val="0"/>
          <w:color w:val="0C447C"/>
          <w:sz w:val="36"/>
        </w:rPr>
        <w:t>四、作用信号（怎么判定策略起作用）</w:t>
      </w:r>
    </w:p>
    <w:p>
      <w:pPr>
        <w:spacing w:before="120" w:after="120" w:line="360" w:lineRule="auto"/>
        <w:ind w:firstLine="480"/>
        <w:jc w:val="both"/>
      </w:pPr>
      <w:r>
        <w:rPr>
          <w:rFonts w:ascii="宋体" w:hAnsi="宋体" w:eastAsia="宋体"/>
          <w:b w:val="0"/>
          <w:i w:val="0"/>
          <w:color w:val="2C2C2A"/>
          <w:sz w:val="24"/>
        </w:rPr>
        <w:t>“起作用”必须由</w:t>
      </w:r>
      <w:r>
        <w:rPr>
          <w:rFonts w:ascii="宋体" w:hAnsi="宋体" w:eastAsia="宋体"/>
          <w:b/>
          <w:i w:val="0"/>
          <w:color w:val="2C2C2A"/>
          <w:sz w:val="24"/>
        </w:rPr>
        <w:t>可观测、可对照</w:t>
      </w:r>
      <w:r>
        <w:rPr>
          <w:rFonts w:ascii="宋体" w:hAnsi="宋体" w:eastAsia="宋体"/>
          <w:b w:val="0"/>
          <w:i w:val="0"/>
          <w:color w:val="2C2C2A"/>
          <w:sz w:val="24"/>
        </w:rPr>
        <w:t>的信号判定，且给出</w:t>
      </w:r>
      <w:r>
        <w:rPr>
          <w:rFonts w:ascii="宋体" w:hAnsi="宋体" w:eastAsia="宋体"/>
          <w:b/>
          <w:i w:val="0"/>
          <w:color w:val="2C2C2A"/>
          <w:sz w:val="24"/>
        </w:rPr>
        <w:t>对照方式、显著性门槛与最小提升量</w:t>
      </w:r>
      <w:r>
        <w:rPr>
          <w:rFonts w:ascii="宋体" w:hAnsi="宋体" w:eastAsia="宋体"/>
          <w:b w:val="0"/>
          <w:i w:val="0"/>
          <w:color w:val="2C2C2A"/>
          <w:sz w:val="24"/>
        </w:rPr>
        <w:t>，而非主观感受：</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608"/>
            <w:shd w:fill="185FA5"/>
          </w:tcPr>
          <w:p>
            <w:pPr>
              <w:jc w:val="center"/>
            </w:pPr>
            <w:r/>
            <w:r>
              <w:rPr>
                <w:rFonts w:ascii="黑体" w:hAnsi="黑体" w:eastAsia="黑体"/>
                <w:b/>
                <w:i w:val="0"/>
                <w:color w:val="FFFFFF"/>
                <w:sz w:val="21"/>
              </w:rPr>
              <w:t>作用信号</w:t>
            </w:r>
          </w:p>
        </w:tc>
        <w:tc>
          <w:tcPr>
            <w:tcW w:type="dxa" w:w="2835"/>
            <w:shd w:fill="185FA5"/>
          </w:tcPr>
          <w:p>
            <w:pPr>
              <w:jc w:val="center"/>
            </w:pPr>
            <w:r/>
            <w:r>
              <w:rPr>
                <w:rFonts w:ascii="黑体" w:hAnsi="黑体" w:eastAsia="黑体"/>
                <w:b/>
                <w:i w:val="0"/>
                <w:color w:val="FFFFFF"/>
                <w:sz w:val="21"/>
              </w:rPr>
              <w:t>对照方式</w:t>
            </w:r>
          </w:p>
        </w:tc>
        <w:tc>
          <w:tcPr>
            <w:tcW w:type="dxa" w:w="3402"/>
            <w:shd w:fill="185FA5"/>
          </w:tcPr>
          <w:p>
            <w:pPr>
              <w:jc w:val="center"/>
            </w:pPr>
            <w:r/>
            <w:r>
              <w:rPr>
                <w:rFonts w:ascii="黑体" w:hAnsi="黑体" w:eastAsia="黑体"/>
                <w:b/>
                <w:i w:val="0"/>
                <w:color w:val="FFFFFF"/>
                <w:sz w:val="21"/>
              </w:rPr>
              <w:t>最小提升量 / 显著性</w:t>
            </w:r>
          </w:p>
        </w:tc>
        <w:tc>
          <w:tcPr>
            <w:tcW w:type="dxa" w:w="1928"/>
            <w:shd w:fill="185FA5"/>
          </w:tcPr>
          <w:p>
            <w:pPr>
              <w:jc w:val="center"/>
            </w:pPr>
            <w:r/>
            <w:r>
              <w:rPr>
                <w:rFonts w:ascii="黑体" w:hAnsi="黑体" w:eastAsia="黑体"/>
                <w:b/>
                <w:i w:val="0"/>
                <w:color w:val="FFFFFF"/>
                <w:sz w:val="21"/>
              </w:rPr>
              <w:t>对应策略</w:t>
            </w:r>
          </w:p>
        </w:tc>
      </w:tr>
      <w:tr>
        <w:tc>
          <w:tcPr>
            <w:tcW w:type="dxa" w:w="2608"/>
          </w:tcPr>
          <w:p>
            <w:pPr>
              <w:jc w:val="left"/>
            </w:pPr>
            <w:r/>
            <w:r>
              <w:rPr>
                <w:rFonts w:ascii="宋体" w:hAnsi="宋体" w:eastAsia="宋体"/>
                <w:b w:val="0"/>
                <w:i w:val="0"/>
                <w:color w:val="2C2C2A"/>
                <w:sz w:val="21"/>
              </w:rPr>
              <w:t>探索池长尾命中 / 续用率</w:t>
            </w:r>
          </w:p>
        </w:tc>
        <w:tc>
          <w:tcPr>
            <w:tcW w:type="dxa" w:w="2835"/>
          </w:tcPr>
          <w:p>
            <w:pPr>
              <w:jc w:val="left"/>
            </w:pPr>
            <w:r/>
            <w:r>
              <w:rPr>
                <w:rFonts w:ascii="宋体" w:hAnsi="宋体" w:eastAsia="宋体"/>
                <w:b w:val="0"/>
                <w:i w:val="0"/>
                <w:color w:val="2C2C2A"/>
                <w:sz w:val="21"/>
              </w:rPr>
              <w:t>长尾探索组 vs 头部对照组（DID）</w:t>
            </w:r>
          </w:p>
        </w:tc>
        <w:tc>
          <w:tcPr>
            <w:tcW w:type="dxa" w:w="3402"/>
          </w:tcPr>
          <w:p>
            <w:pPr>
              <w:jc w:val="left"/>
            </w:pPr>
            <w:r/>
            <w:r>
              <w:rPr>
                <w:rFonts w:ascii="宋体" w:hAnsi="宋体" w:eastAsia="宋体"/>
                <w:b w:val="0"/>
                <w:i w:val="0"/>
                <w:color w:val="2C2C2A"/>
                <w:sz w:val="21"/>
              </w:rPr>
              <w:t>领先 ≥5pp 且 p&lt;0.05</w:t>
            </w:r>
          </w:p>
        </w:tc>
        <w:tc>
          <w:tcPr>
            <w:tcW w:type="dxa" w:w="1928"/>
          </w:tcPr>
          <w:p>
            <w:pPr>
              <w:jc w:val="left"/>
            </w:pPr>
            <w:r/>
            <w:r>
              <w:rPr>
                <w:rFonts w:ascii="宋体" w:hAnsi="宋体" w:eastAsia="宋体"/>
                <w:b w:val="0"/>
                <w:i w:val="0"/>
                <w:color w:val="2C2C2A"/>
                <w:sz w:val="21"/>
              </w:rPr>
              <w:t>探索层</w:t>
            </w:r>
          </w:p>
        </w:tc>
      </w:tr>
      <w:tr>
        <w:tc>
          <w:tcPr>
            <w:tcW w:type="dxa" w:w="2608"/>
          </w:tcPr>
          <w:p>
            <w:pPr>
              <w:jc w:val="left"/>
            </w:pPr>
            <w:r/>
            <w:r>
              <w:rPr>
                <w:rFonts w:ascii="宋体" w:hAnsi="宋体" w:eastAsia="宋体"/>
                <w:b w:val="0"/>
                <w:i w:val="0"/>
                <w:color w:val="2C2C2A"/>
                <w:sz w:val="21"/>
              </w:rPr>
              <w:t>长尾曝光覆盖率</w:t>
            </w:r>
          </w:p>
        </w:tc>
        <w:tc>
          <w:tcPr>
            <w:tcW w:type="dxa" w:w="2835"/>
          </w:tcPr>
          <w:p>
            <w:pPr>
              <w:jc w:val="left"/>
            </w:pPr>
            <w:r/>
            <w:r>
              <w:rPr>
                <w:rFonts w:ascii="宋体" w:hAnsi="宋体" w:eastAsia="宋体"/>
                <w:b w:val="0"/>
                <w:i w:val="0"/>
                <w:color w:val="2C2C2A"/>
                <w:sz w:val="21"/>
              </w:rPr>
              <w:t>上线前 / 上线后两期对照</w:t>
            </w:r>
          </w:p>
        </w:tc>
        <w:tc>
          <w:tcPr>
            <w:tcW w:type="dxa" w:w="3402"/>
          </w:tcPr>
          <w:p>
            <w:pPr>
              <w:jc w:val="left"/>
            </w:pPr>
            <w:r/>
            <w:r>
              <w:rPr>
                <w:rFonts w:ascii="宋体" w:hAnsi="宋体" w:eastAsia="宋体"/>
                <w:b w:val="0"/>
                <w:i w:val="0"/>
                <w:color w:val="2C2C2A"/>
                <w:sz w:val="21"/>
              </w:rPr>
              <w:t>Δ ≥ +17pp（反 8%）</w:t>
            </w:r>
          </w:p>
        </w:tc>
        <w:tc>
          <w:tcPr>
            <w:tcW w:type="dxa" w:w="1928"/>
          </w:tcPr>
          <w:p>
            <w:pPr>
              <w:jc w:val="left"/>
            </w:pPr>
            <w:r/>
            <w:r>
              <w:rPr>
                <w:rFonts w:ascii="宋体" w:hAnsi="宋体" w:eastAsia="宋体"/>
                <w:b w:val="0"/>
                <w:i w:val="0"/>
                <w:color w:val="2C2C2A"/>
                <w:sz w:val="21"/>
              </w:rPr>
              <w:t>稀缺加权 + 豁免</w:t>
            </w:r>
          </w:p>
        </w:tc>
      </w:tr>
      <w:tr>
        <w:tc>
          <w:tcPr>
            <w:tcW w:type="dxa" w:w="2608"/>
          </w:tcPr>
          <w:p>
            <w:pPr>
              <w:jc w:val="left"/>
            </w:pPr>
            <w:r/>
            <w:r>
              <w:rPr>
                <w:rFonts w:ascii="宋体" w:hAnsi="宋体" w:eastAsia="宋体"/>
                <w:b w:val="0"/>
                <w:i w:val="0"/>
                <w:color w:val="2C2C2A"/>
                <w:sz w:val="21"/>
              </w:rPr>
              <w:t>生态多样性 Gini</w:t>
            </w:r>
          </w:p>
        </w:tc>
        <w:tc>
          <w:tcPr>
            <w:tcW w:type="dxa" w:w="2835"/>
          </w:tcPr>
          <w:p>
            <w:pPr>
              <w:jc w:val="left"/>
            </w:pPr>
            <w:r/>
            <w:r>
              <w:rPr>
                <w:rFonts w:ascii="宋体" w:hAnsi="宋体" w:eastAsia="宋体"/>
                <w:b w:val="0"/>
                <w:i w:val="0"/>
                <w:color w:val="2C2C2A"/>
                <w:sz w:val="21"/>
              </w:rPr>
              <w:t>上线前 / 后两期对照</w:t>
            </w:r>
          </w:p>
        </w:tc>
        <w:tc>
          <w:tcPr>
            <w:tcW w:type="dxa" w:w="3402"/>
          </w:tcPr>
          <w:p>
            <w:pPr>
              <w:jc w:val="left"/>
            </w:pPr>
            <w:r/>
            <w:r>
              <w:rPr>
                <w:rFonts w:ascii="宋体" w:hAnsi="宋体" w:eastAsia="宋体"/>
                <w:b w:val="0"/>
                <w:i w:val="0"/>
                <w:color w:val="2C2C2A"/>
                <w:sz w:val="21"/>
              </w:rPr>
              <w:t>Δ ≥ −0.05（Gini 降）</w:t>
            </w:r>
          </w:p>
        </w:tc>
        <w:tc>
          <w:tcPr>
            <w:tcW w:type="dxa" w:w="1928"/>
          </w:tcPr>
          <w:p>
            <w:pPr>
              <w:jc w:val="left"/>
            </w:pPr>
            <w:r/>
            <w:r>
              <w:rPr>
                <w:rFonts w:ascii="宋体" w:hAnsi="宋体" w:eastAsia="宋体"/>
                <w:b w:val="0"/>
                <w:i w:val="0"/>
                <w:color w:val="2C2C2A"/>
                <w:sz w:val="21"/>
              </w:rPr>
              <w:t>整体机制</w:t>
            </w:r>
          </w:p>
        </w:tc>
      </w:tr>
      <w:tr>
        <w:tc>
          <w:tcPr>
            <w:tcW w:type="dxa" w:w="2608"/>
          </w:tcPr>
          <w:p>
            <w:pPr>
              <w:jc w:val="left"/>
            </w:pPr>
            <w:r/>
            <w:r>
              <w:rPr>
                <w:rFonts w:ascii="宋体" w:hAnsi="宋体" w:eastAsia="宋体"/>
                <w:b w:val="0"/>
                <w:i w:val="0"/>
                <w:color w:val="2C2C2A"/>
                <w:sz w:val="21"/>
              </w:rPr>
              <w:t>头部平均份额</w:t>
            </w:r>
          </w:p>
        </w:tc>
        <w:tc>
          <w:tcPr>
            <w:tcW w:type="dxa" w:w="2835"/>
          </w:tcPr>
          <w:p>
            <w:pPr>
              <w:jc w:val="left"/>
            </w:pPr>
            <w:r/>
            <w:r>
              <w:rPr>
                <w:rFonts w:ascii="宋体" w:hAnsi="宋体" w:eastAsia="宋体"/>
                <w:b w:val="0"/>
                <w:i w:val="0"/>
                <w:color w:val="2C2C2A"/>
                <w:sz w:val="21"/>
              </w:rPr>
              <w:t>上线前 / 后两期对照</w:t>
            </w:r>
          </w:p>
        </w:tc>
        <w:tc>
          <w:tcPr>
            <w:tcW w:type="dxa" w:w="3402"/>
          </w:tcPr>
          <w:p>
            <w:pPr>
              <w:jc w:val="left"/>
            </w:pPr>
            <w:r/>
            <w:r>
              <w:rPr>
                <w:rFonts w:ascii="宋体" w:hAnsi="宋体" w:eastAsia="宋体"/>
                <w:b w:val="0"/>
                <w:i w:val="0"/>
                <w:color w:val="2C2C2A"/>
                <w:sz w:val="21"/>
              </w:rPr>
              <w:t>Δ ≥ −10pp</w:t>
            </w:r>
          </w:p>
        </w:tc>
        <w:tc>
          <w:tcPr>
            <w:tcW w:type="dxa" w:w="1928"/>
          </w:tcPr>
          <w:p>
            <w:pPr>
              <w:jc w:val="left"/>
            </w:pPr>
            <w:r/>
            <w:r>
              <w:rPr>
                <w:rFonts w:ascii="宋体" w:hAnsi="宋体" w:eastAsia="宋体"/>
                <w:b w:val="0"/>
                <w:i w:val="0"/>
                <w:color w:val="2C2C2A"/>
                <w:sz w:val="21"/>
              </w:rPr>
              <w:t>打散 + 探索</w:t>
            </w:r>
          </w:p>
        </w:tc>
      </w:tr>
      <w:tr>
        <w:tc>
          <w:tcPr>
            <w:tcW w:type="dxa" w:w="2608"/>
          </w:tcPr>
          <w:p>
            <w:pPr>
              <w:jc w:val="left"/>
            </w:pPr>
            <w:r/>
            <w:r>
              <w:rPr>
                <w:rFonts w:ascii="宋体" w:hAnsi="宋体" w:eastAsia="宋体"/>
                <w:b w:val="0"/>
                <w:i w:val="0"/>
                <w:color w:val="2C2C2A"/>
                <w:sz w:val="21"/>
              </w:rPr>
              <w:t>头部重复推荐率</w:t>
            </w:r>
          </w:p>
        </w:tc>
        <w:tc>
          <w:tcPr>
            <w:tcW w:type="dxa" w:w="2835"/>
          </w:tcPr>
          <w:p>
            <w:pPr>
              <w:jc w:val="left"/>
            </w:pPr>
            <w:r/>
            <w:r>
              <w:rPr>
                <w:rFonts w:ascii="宋体" w:hAnsi="宋体" w:eastAsia="宋体"/>
                <w:b w:val="0"/>
                <w:i w:val="0"/>
                <w:color w:val="2C2C2A"/>
                <w:sz w:val="21"/>
              </w:rPr>
              <w:t>上线前 / 后两期对照</w:t>
            </w:r>
          </w:p>
        </w:tc>
        <w:tc>
          <w:tcPr>
            <w:tcW w:type="dxa" w:w="3402"/>
          </w:tcPr>
          <w:p>
            <w:pPr>
              <w:jc w:val="left"/>
            </w:pPr>
            <w:r/>
            <w:r>
              <w:rPr>
                <w:rFonts w:ascii="宋体" w:hAnsi="宋体" w:eastAsia="宋体"/>
                <w:b w:val="0"/>
                <w:i w:val="0"/>
                <w:color w:val="2C2C2A"/>
                <w:sz w:val="21"/>
              </w:rPr>
              <w:t>Δ ≥ −8pp</w:t>
            </w:r>
          </w:p>
        </w:tc>
        <w:tc>
          <w:tcPr>
            <w:tcW w:type="dxa" w:w="1928"/>
          </w:tcPr>
          <w:p>
            <w:pPr>
              <w:jc w:val="left"/>
            </w:pPr>
            <w:r/>
            <w:r>
              <w:rPr>
                <w:rFonts w:ascii="宋体" w:hAnsi="宋体" w:eastAsia="宋体"/>
                <w:b w:val="0"/>
                <w:i w:val="0"/>
                <w:color w:val="2C2C2A"/>
                <w:sz w:val="21"/>
              </w:rPr>
              <w:t>打散重复推荐</w:t>
            </w:r>
          </w:p>
        </w:tc>
      </w:tr>
      <w:tr>
        <w:tc>
          <w:tcPr>
            <w:tcW w:type="dxa" w:w="2608"/>
          </w:tcPr>
          <w:p>
            <w:pPr>
              <w:jc w:val="left"/>
            </w:pPr>
            <w:r/>
            <w:r>
              <w:rPr>
                <w:rFonts w:ascii="宋体" w:hAnsi="宋体" w:eastAsia="宋体"/>
                <w:b w:val="0"/>
                <w:i w:val="0"/>
                <w:color w:val="2C2C2A"/>
                <w:sz w:val="21"/>
              </w:rPr>
              <w:t>长尾召回未命中率</w:t>
            </w:r>
          </w:p>
        </w:tc>
        <w:tc>
          <w:tcPr>
            <w:tcW w:type="dxa" w:w="2835"/>
          </w:tcPr>
          <w:p>
            <w:pPr>
              <w:jc w:val="left"/>
            </w:pPr>
            <w:r/>
            <w:r>
              <w:rPr>
                <w:rFonts w:ascii="宋体" w:hAnsi="宋体" w:eastAsia="宋体"/>
                <w:b w:val="0"/>
                <w:i w:val="0"/>
                <w:color w:val="2C2C2A"/>
                <w:sz w:val="21"/>
              </w:rPr>
              <w:t>上线前 / 后两期对照</w:t>
            </w:r>
          </w:p>
        </w:tc>
        <w:tc>
          <w:tcPr>
            <w:tcW w:type="dxa" w:w="3402"/>
          </w:tcPr>
          <w:p>
            <w:pPr>
              <w:jc w:val="left"/>
            </w:pPr>
            <w:r/>
            <w:r>
              <w:rPr>
                <w:rFonts w:ascii="宋体" w:hAnsi="宋体" w:eastAsia="宋体"/>
                <w:b w:val="0"/>
                <w:i w:val="0"/>
                <w:color w:val="2C2C2A"/>
                <w:sz w:val="21"/>
              </w:rPr>
              <w:t>Δ ≥ +10pp（终于命中）</w:t>
            </w:r>
          </w:p>
        </w:tc>
        <w:tc>
          <w:tcPr>
            <w:tcW w:type="dxa" w:w="1928"/>
          </w:tcPr>
          <w:p>
            <w:pPr>
              <w:jc w:val="left"/>
            </w:pPr>
            <w:r/>
            <w:r>
              <w:rPr>
                <w:rFonts w:ascii="宋体" w:hAnsi="宋体" w:eastAsia="宋体"/>
                <w:b w:val="0"/>
                <w:i w:val="0"/>
                <w:color w:val="2C2C2A"/>
                <w:sz w:val="21"/>
              </w:rPr>
              <w:t>稀缺豁免 + 探索</w:t>
            </w:r>
          </w:p>
        </w:tc>
      </w:tr>
    </w:tbl>
    <w:p>
      <w:pPr>
        <w:spacing w:after="80"/>
      </w:pPr>
    </w:p>
    <w:p>
      <w:pPr>
        <w:spacing w:before="120" w:after="120" w:line="360" w:lineRule="auto"/>
        <w:ind w:firstLine="480"/>
        <w:jc w:val="both"/>
      </w:pPr>
      <w:r>
        <w:rPr>
          <w:rFonts w:ascii="宋体" w:hAnsi="宋体" w:eastAsia="宋体"/>
          <w:b w:val="0"/>
          <w:i w:val="0"/>
          <w:color w:val="2C2C2A"/>
          <w:sz w:val="24"/>
        </w:rPr>
        <w:t>判定逻辑：</w:t>
      </w:r>
      <w:r>
        <w:rPr>
          <w:rFonts w:ascii="宋体" w:hAnsi="宋体" w:eastAsia="宋体"/>
          <w:b/>
          <w:i w:val="0"/>
          <w:color w:val="2C2C2A"/>
          <w:sz w:val="24"/>
        </w:rPr>
        <w:t>上述信号需联合看</w:t>
      </w:r>
      <w:r>
        <w:rPr>
          <w:rFonts w:ascii="宋体" w:hAnsi="宋体" w:eastAsia="宋体"/>
          <w:b w:val="0"/>
          <w:i w:val="0"/>
          <w:color w:val="2C2C2A"/>
          <w:sz w:val="24"/>
        </w:rPr>
        <w:t>，且必须结合护栏指标一起下结论——若长尾覆盖率上升但满意度/头部体验退化，说明探索过度，应回调 β 与预算；任何“起作用”的结论都必须先过 DID 归因（剔除口径切换与抽样波动），避免把波动当成效。</w:t>
      </w:r>
    </w:p>
    <w:p>
      <w:pPr>
        <w:keepNext/>
        <w:spacing w:before="320" w:after="240" w:line="360" w:lineRule="auto"/>
        <w:jc w:val="center"/>
      </w:pPr>
      <w:r>
        <w:rPr>
          <w:rFonts w:ascii="黑体" w:hAnsi="黑体" w:eastAsia="黑体"/>
          <w:b/>
          <w:i w:val="0"/>
          <w:color w:val="0C447C"/>
          <w:sz w:val="36"/>
        </w:rPr>
        <w:t>五、副作用与护栏（黄 / 红 分级量化红线）</w:t>
      </w:r>
    </w:p>
    <w:p>
      <w:pPr>
        <w:spacing w:before="120" w:after="120" w:line="360" w:lineRule="auto"/>
        <w:ind w:firstLine="480"/>
        <w:jc w:val="both"/>
      </w:pPr>
      <w:r>
        <w:rPr>
          <w:rFonts w:ascii="宋体" w:hAnsi="宋体" w:eastAsia="宋体"/>
          <w:b w:val="0"/>
          <w:i w:val="0"/>
          <w:color w:val="2C2C2A"/>
          <w:sz w:val="24"/>
        </w:rPr>
        <w:t>副作用的抑制不靠“感觉”，而靠</w:t>
      </w:r>
      <w:r>
        <w:rPr>
          <w:rFonts w:ascii="宋体" w:hAnsi="宋体" w:eastAsia="宋体"/>
          <w:b/>
          <w:i w:val="0"/>
          <w:color w:val="2C2C2A"/>
          <w:sz w:val="24"/>
        </w:rPr>
        <w:t>黄（预警回调）/ 红（熔断回滚）</w:t>
      </w:r>
      <w:r>
        <w:rPr>
          <w:rFonts w:ascii="宋体" w:hAnsi="宋体" w:eastAsia="宋体"/>
          <w:b w:val="0"/>
          <w:i w:val="0"/>
          <w:color w:val="2C2C2A"/>
          <w:sz w:val="24"/>
        </w:rPr>
        <w:t>两级量化红线：</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608"/>
            <w:shd w:fill="185FA5"/>
          </w:tcPr>
          <w:p>
            <w:pPr>
              <w:jc w:val="center"/>
            </w:pPr>
            <w:r/>
            <w:r>
              <w:rPr>
                <w:rFonts w:ascii="黑体" w:hAnsi="黑体" w:eastAsia="黑体"/>
                <w:b/>
                <w:i w:val="0"/>
                <w:color w:val="FFFFFF"/>
                <w:sz w:val="21"/>
              </w:rPr>
              <w:t>副作用</w:t>
            </w:r>
          </w:p>
        </w:tc>
        <w:tc>
          <w:tcPr>
            <w:tcW w:type="dxa" w:w="2608"/>
            <w:shd w:fill="185FA5"/>
          </w:tcPr>
          <w:p>
            <w:pPr>
              <w:jc w:val="center"/>
            </w:pPr>
            <w:r/>
            <w:r>
              <w:rPr>
                <w:rFonts w:ascii="黑体" w:hAnsi="黑体" w:eastAsia="黑体"/>
                <w:b/>
                <w:i w:val="0"/>
                <w:color w:val="FFFFFF"/>
                <w:sz w:val="21"/>
              </w:rPr>
              <w:t>黄线（预警，回调 β/预算）</w:t>
            </w:r>
          </w:p>
        </w:tc>
        <w:tc>
          <w:tcPr>
            <w:tcW w:type="dxa" w:w="2608"/>
            <w:shd w:fill="185FA5"/>
          </w:tcPr>
          <w:p>
            <w:pPr>
              <w:jc w:val="center"/>
            </w:pPr>
            <w:r/>
            <w:r>
              <w:rPr>
                <w:rFonts w:ascii="黑体" w:hAnsi="黑体" w:eastAsia="黑体"/>
                <w:b/>
                <w:i w:val="0"/>
                <w:color w:val="FFFFFF"/>
                <w:sz w:val="21"/>
              </w:rPr>
              <w:t>红线（熔断，回滚策略）</w:t>
            </w:r>
          </w:p>
        </w:tc>
        <w:tc>
          <w:tcPr>
            <w:tcW w:type="dxa" w:w="3515"/>
            <w:shd w:fill="185FA5"/>
          </w:tcPr>
          <w:p>
            <w:pPr>
              <w:jc w:val="center"/>
            </w:pPr>
            <w:r/>
            <w:r>
              <w:rPr>
                <w:rFonts w:ascii="黑体" w:hAnsi="黑体" w:eastAsia="黑体"/>
                <w:b/>
                <w:i w:val="0"/>
                <w:color w:val="FFFFFF"/>
                <w:sz w:val="21"/>
              </w:rPr>
              <w:t>控制机制</w:t>
            </w:r>
          </w:p>
        </w:tc>
      </w:tr>
      <w:tr>
        <w:tc>
          <w:tcPr>
            <w:tcW w:type="dxa" w:w="2608"/>
          </w:tcPr>
          <w:p>
            <w:pPr>
              <w:jc w:val="left"/>
            </w:pPr>
            <w:r/>
            <w:r>
              <w:rPr>
                <w:rFonts w:ascii="宋体" w:hAnsi="宋体" w:eastAsia="宋体"/>
                <w:b w:val="0"/>
                <w:i w:val="0"/>
                <w:color w:val="2C2C2A"/>
                <w:sz w:val="21"/>
              </w:rPr>
              <w:t>探索过度伤体验</w:t>
            </w:r>
          </w:p>
        </w:tc>
        <w:tc>
          <w:tcPr>
            <w:tcW w:type="dxa" w:w="2608"/>
          </w:tcPr>
          <w:p>
            <w:pPr>
              <w:jc w:val="left"/>
            </w:pPr>
            <w:r/>
            <w:r>
              <w:rPr>
                <w:rFonts w:ascii="宋体" w:hAnsi="宋体" w:eastAsia="宋体"/>
                <w:b w:val="0"/>
                <w:i w:val="0"/>
                <w:color w:val="2C2C2A"/>
                <w:sz w:val="21"/>
              </w:rPr>
              <w:t>匹配采纳率较基线 −3pp 或满意度 −0.2</w:t>
            </w:r>
          </w:p>
        </w:tc>
        <w:tc>
          <w:tcPr>
            <w:tcW w:type="dxa" w:w="2608"/>
          </w:tcPr>
          <w:p>
            <w:pPr>
              <w:jc w:val="left"/>
            </w:pPr>
            <w:r/>
            <w:r>
              <w:rPr>
                <w:rFonts w:ascii="宋体" w:hAnsi="宋体" w:eastAsia="宋体"/>
                <w:b w:val="0"/>
                <w:i w:val="0"/>
                <w:color w:val="2C2C2A"/>
                <w:sz w:val="21"/>
              </w:rPr>
              <w:t>采纳率 &lt; 基线 −10pp 或满意度 &lt; 4.0</w:t>
            </w:r>
          </w:p>
        </w:tc>
        <w:tc>
          <w:tcPr>
            <w:tcW w:type="dxa" w:w="3515"/>
          </w:tcPr>
          <w:p>
            <w:pPr>
              <w:jc w:val="left"/>
            </w:pPr>
            <w:r/>
            <w:r>
              <w:rPr>
                <w:rFonts w:ascii="宋体" w:hAnsi="宋体" w:eastAsia="宋体"/>
                <w:b w:val="0"/>
                <w:i w:val="0"/>
                <w:color w:val="2C2C2A"/>
                <w:sz w:val="21"/>
              </w:rPr>
              <w:t>回调 β 与探索预算；红则回滚</w:t>
            </w:r>
          </w:p>
        </w:tc>
      </w:tr>
      <w:tr>
        <w:tc>
          <w:tcPr>
            <w:tcW w:type="dxa" w:w="2608"/>
          </w:tcPr>
          <w:p>
            <w:pPr>
              <w:jc w:val="left"/>
            </w:pPr>
            <w:r/>
            <w:r>
              <w:rPr>
                <w:rFonts w:ascii="宋体" w:hAnsi="宋体" w:eastAsia="宋体"/>
                <w:b w:val="0"/>
                <w:i w:val="0"/>
                <w:color w:val="2C2C2A"/>
                <w:sz w:val="21"/>
              </w:rPr>
              <w:t>稀缺因子被拆分滥用</w:t>
            </w:r>
          </w:p>
        </w:tc>
        <w:tc>
          <w:tcPr>
            <w:tcW w:type="dxa" w:w="2608"/>
          </w:tcPr>
          <w:p>
            <w:pPr>
              <w:jc w:val="left"/>
            </w:pPr>
            <w:r/>
            <w:r>
              <w:rPr>
                <w:rFonts w:ascii="宋体" w:hAnsi="宋体" w:eastAsia="宋体"/>
                <w:b w:val="0"/>
                <w:i w:val="0"/>
                <w:color w:val="2C2C2A"/>
                <w:sz w:val="21"/>
              </w:rPr>
              <w:t>疑似拆分告警 ≥5 次/周期</w:t>
            </w:r>
          </w:p>
        </w:tc>
        <w:tc>
          <w:tcPr>
            <w:tcW w:type="dxa" w:w="2608"/>
          </w:tcPr>
          <w:p>
            <w:pPr>
              <w:jc w:val="left"/>
            </w:pPr>
            <w:r/>
            <w:r>
              <w:rPr>
                <w:rFonts w:ascii="宋体" w:hAnsi="宋体" w:eastAsia="宋体"/>
                <w:b w:val="0"/>
                <w:i w:val="0"/>
                <w:color w:val="2C2C2A"/>
                <w:sz w:val="21"/>
              </w:rPr>
              <w:t>实锤伪造 ≥3 次或触发 1 次创作者争议</w:t>
            </w:r>
          </w:p>
        </w:tc>
        <w:tc>
          <w:tcPr>
            <w:tcW w:type="dxa" w:w="3515"/>
          </w:tcPr>
          <w:p>
            <w:pPr>
              <w:jc w:val="left"/>
            </w:pPr>
            <w:r/>
            <w:r>
              <w:rPr>
                <w:rFonts w:ascii="宋体" w:hAnsi="宋体" w:eastAsia="宋体"/>
                <w:b w:val="0"/>
                <w:i w:val="0"/>
                <w:color w:val="2C2C2A"/>
                <w:sz w:val="21"/>
              </w:rPr>
              <w:t>语义聚类去重 + 人工复核；稀缺仅乘性封顶</w:t>
            </w:r>
          </w:p>
        </w:tc>
      </w:tr>
      <w:tr>
        <w:tc>
          <w:tcPr>
            <w:tcW w:type="dxa" w:w="2608"/>
          </w:tcPr>
          <w:p>
            <w:pPr>
              <w:jc w:val="left"/>
            </w:pPr>
            <w:r/>
            <w:r>
              <w:rPr>
                <w:rFonts w:ascii="宋体" w:hAnsi="宋体" w:eastAsia="宋体"/>
                <w:b w:val="0"/>
                <w:i w:val="0"/>
                <w:color w:val="2C2C2A"/>
                <w:sz w:val="21"/>
              </w:rPr>
              <w:t>人工复核成瓶颈</w:t>
            </w:r>
          </w:p>
        </w:tc>
        <w:tc>
          <w:tcPr>
            <w:tcW w:type="dxa" w:w="2608"/>
          </w:tcPr>
          <w:p>
            <w:pPr>
              <w:jc w:val="left"/>
            </w:pPr>
            <w:r/>
            <w:r>
              <w:rPr>
                <w:rFonts w:ascii="宋体" w:hAnsi="宋体" w:eastAsia="宋体"/>
                <w:b w:val="0"/>
                <w:i w:val="0"/>
                <w:color w:val="2C2C2A"/>
                <w:sz w:val="21"/>
              </w:rPr>
              <w:t>人工累计复核 &gt;500 次/周期</w:t>
            </w:r>
          </w:p>
        </w:tc>
        <w:tc>
          <w:tcPr>
            <w:tcW w:type="dxa" w:w="2608"/>
          </w:tcPr>
          <w:p>
            <w:pPr>
              <w:jc w:val="left"/>
            </w:pPr>
            <w:r/>
            <w:r>
              <w:rPr>
                <w:rFonts w:ascii="宋体" w:hAnsi="宋体" w:eastAsia="宋体"/>
                <w:b w:val="0"/>
                <w:i w:val="0"/>
                <w:color w:val="2C2C2A"/>
                <w:sz w:val="21"/>
              </w:rPr>
              <w:t>单点响应 &gt;72h 未清</w:t>
            </w:r>
          </w:p>
        </w:tc>
        <w:tc>
          <w:tcPr>
            <w:tcW w:type="dxa" w:w="3515"/>
          </w:tcPr>
          <w:p>
            <w:pPr>
              <w:jc w:val="left"/>
            </w:pPr>
            <w:r/>
            <w:r>
              <w:rPr>
                <w:rFonts w:ascii="宋体" w:hAnsi="宋体" w:eastAsia="宋体"/>
                <w:b w:val="0"/>
                <w:i w:val="0"/>
                <w:color w:val="2C2C2A"/>
                <w:sz w:val="21"/>
              </w:rPr>
              <w:t>仅稀缺豁免与清退留人，常态自动 + 扩容</w:t>
            </w:r>
          </w:p>
        </w:tc>
      </w:tr>
      <w:tr>
        <w:tc>
          <w:tcPr>
            <w:tcW w:type="dxa" w:w="2608"/>
          </w:tcPr>
          <w:p>
            <w:pPr>
              <w:jc w:val="left"/>
            </w:pPr>
            <w:r/>
            <w:r>
              <w:rPr>
                <w:rFonts w:ascii="宋体" w:hAnsi="宋体" w:eastAsia="宋体"/>
                <w:b w:val="0"/>
                <w:i w:val="0"/>
                <w:color w:val="2C2C2A"/>
                <w:sz w:val="21"/>
              </w:rPr>
              <w:t>长尾加入但质量参差</w:t>
            </w:r>
          </w:p>
        </w:tc>
        <w:tc>
          <w:tcPr>
            <w:tcW w:type="dxa" w:w="2608"/>
          </w:tcPr>
          <w:p>
            <w:pPr>
              <w:jc w:val="left"/>
            </w:pPr>
            <w:r/>
            <w:r>
              <w:rPr>
                <w:rFonts w:ascii="宋体" w:hAnsi="宋体" w:eastAsia="宋体"/>
                <w:b w:val="0"/>
                <w:i w:val="0"/>
                <w:color w:val="2C2C2A"/>
                <w:sz w:val="21"/>
              </w:rPr>
              <w:t>探索池命中率 &lt; 25%</w:t>
            </w:r>
          </w:p>
        </w:tc>
        <w:tc>
          <w:tcPr>
            <w:tcW w:type="dxa" w:w="2608"/>
          </w:tcPr>
          <w:p>
            <w:pPr>
              <w:jc w:val="left"/>
            </w:pPr>
            <w:r/>
            <w:r>
              <w:rPr>
                <w:rFonts w:ascii="宋体" w:hAnsi="宋体" w:eastAsia="宋体"/>
                <w:b w:val="0"/>
                <w:i w:val="0"/>
                <w:color w:val="2C2C2A"/>
                <w:sz w:val="21"/>
              </w:rPr>
              <w:t>探索池命中率 &lt; 15%</w:t>
            </w:r>
          </w:p>
        </w:tc>
        <w:tc>
          <w:tcPr>
            <w:tcW w:type="dxa" w:w="3515"/>
          </w:tcPr>
          <w:p>
            <w:pPr>
              <w:jc w:val="left"/>
            </w:pPr>
            <w:r/>
            <w:r>
              <w:rPr>
                <w:rFonts w:ascii="宋体" w:hAnsi="宋体" w:eastAsia="宋体"/>
                <w:b w:val="0"/>
                <w:i w:val="0"/>
                <w:color w:val="2C2C2A"/>
                <w:sz w:val="21"/>
              </w:rPr>
              <w:t>收紧稀缺豁免与底线闸门，确保“达标”长尾</w:t>
            </w:r>
          </w:p>
        </w:tc>
      </w:tr>
      <w:tr>
        <w:tc>
          <w:tcPr>
            <w:tcW w:type="dxa" w:w="2608"/>
          </w:tcPr>
          <w:p>
            <w:pPr>
              <w:jc w:val="left"/>
            </w:pPr>
            <w:r/>
            <w:r>
              <w:rPr>
                <w:rFonts w:ascii="宋体" w:hAnsi="宋体" w:eastAsia="宋体"/>
                <w:b w:val="0"/>
                <w:i w:val="0"/>
                <w:color w:val="2C2C2A"/>
                <w:sz w:val="21"/>
              </w:rPr>
              <w:t>头部反弹 / 创作者流失</w:t>
            </w:r>
          </w:p>
        </w:tc>
        <w:tc>
          <w:tcPr>
            <w:tcW w:type="dxa" w:w="2608"/>
          </w:tcPr>
          <w:p>
            <w:pPr>
              <w:jc w:val="left"/>
            </w:pPr>
            <w:r/>
            <w:r>
              <w:rPr>
                <w:rFonts w:ascii="宋体" w:hAnsi="宋体" w:eastAsia="宋体"/>
                <w:b w:val="0"/>
                <w:i w:val="0"/>
                <w:color w:val="2C2C2A"/>
                <w:sz w:val="21"/>
              </w:rPr>
              <w:t>头部创作者月流失 +10%</w:t>
            </w:r>
          </w:p>
        </w:tc>
        <w:tc>
          <w:tcPr>
            <w:tcW w:type="dxa" w:w="2608"/>
          </w:tcPr>
          <w:p>
            <w:pPr>
              <w:jc w:val="left"/>
            </w:pPr>
            <w:r/>
            <w:r>
              <w:rPr>
                <w:rFonts w:ascii="宋体" w:hAnsi="宋体" w:eastAsia="宋体"/>
                <w:b w:val="0"/>
                <w:i w:val="0"/>
                <w:color w:val="2C2C2A"/>
                <w:sz w:val="21"/>
              </w:rPr>
              <w:t>头部参与创作者流失 &gt;15%</w:t>
            </w:r>
          </w:p>
        </w:tc>
        <w:tc>
          <w:tcPr>
            <w:tcW w:type="dxa" w:w="3515"/>
          </w:tcPr>
          <w:p>
            <w:pPr>
              <w:jc w:val="left"/>
            </w:pPr>
            <w:r/>
            <w:r>
              <w:rPr>
                <w:rFonts w:ascii="宋体" w:hAnsi="宋体" w:eastAsia="宋体"/>
                <w:b w:val="0"/>
                <w:i w:val="0"/>
                <w:color w:val="2C2C2A"/>
                <w:sz w:val="21"/>
              </w:rPr>
              <w:t>保留头部在高契合需求上的主导，只打散“凑合相似”曝光</w:t>
            </w:r>
          </w:p>
        </w:tc>
      </w:tr>
    </w:tbl>
    <w:p>
      <w:pPr>
        <w:spacing w:after="80"/>
      </w:pPr>
    </w:p>
    <w:p>
      <w:pPr>
        <w:spacing w:before="120" w:after="120" w:line="360" w:lineRule="auto"/>
        <w:ind w:firstLine="480"/>
        <w:jc w:val="both"/>
      </w:pPr>
      <w:r>
        <w:rPr>
          <w:rFonts w:ascii="宋体" w:hAnsi="宋体" w:eastAsia="宋体"/>
          <w:b w:val="0"/>
          <w:i w:val="0"/>
          <w:color w:val="2C2C2A"/>
          <w:sz w:val="24"/>
        </w:rPr>
        <w:t>黄线触发→自动回调（降 β、缩预算、升人工抽检率）；红线触发→</w:t>
      </w:r>
      <w:r>
        <w:rPr>
          <w:rFonts w:ascii="宋体" w:hAnsi="宋体" w:eastAsia="宋体"/>
          <w:b/>
          <w:i w:val="0"/>
          <w:color w:val="2C2C2A"/>
          <w:sz w:val="24"/>
        </w:rPr>
        <w:t>立即熔断并回滚</w:t>
      </w:r>
      <w:r>
        <w:rPr>
          <w:rFonts w:ascii="宋体" w:hAnsi="宋体" w:eastAsia="宋体"/>
          <w:b w:val="0"/>
          <w:i w:val="0"/>
          <w:color w:val="2C2C2A"/>
          <w:sz w:val="24"/>
        </w:rPr>
        <w:t>，上报治理委员会复盘，同时保留“给长尾起跑线”的机制不变，只调干预强度。</w:t>
      </w:r>
    </w:p>
    <w:p>
      <w:pPr>
        <w:keepNext/>
        <w:spacing w:before="320" w:after="240" w:line="360" w:lineRule="auto"/>
        <w:jc w:val="center"/>
      </w:pPr>
      <w:r>
        <w:rPr>
          <w:rFonts w:ascii="黑体" w:hAnsi="黑体" w:eastAsia="黑体"/>
          <w:b/>
          <w:i w:val="0"/>
          <w:color w:val="0C447C"/>
          <w:sz w:val="36"/>
        </w:rPr>
        <w:t>六、自适应闭环与策略退出</w:t>
      </w:r>
    </w:p>
    <w:p>
      <w:pPr>
        <w:spacing w:before="120" w:after="120" w:line="360" w:lineRule="auto"/>
        <w:ind w:firstLine="480"/>
        <w:jc w:val="both"/>
      </w:pPr>
      <w:r>
        <w:rPr>
          <w:rFonts w:ascii="宋体" w:hAnsi="宋体" w:eastAsia="宋体"/>
          <w:b w:val="0"/>
          <w:i w:val="0"/>
          <w:color w:val="2C2C2A"/>
          <w:sz w:val="24"/>
        </w:rPr>
        <w:t>策略是</w:t>
      </w:r>
      <w:r>
        <w:rPr>
          <w:rFonts w:ascii="宋体" w:hAnsi="宋体" w:eastAsia="宋体"/>
          <w:b/>
          <w:i w:val="0"/>
          <w:color w:val="2C2C2A"/>
          <w:sz w:val="24"/>
        </w:rPr>
        <w:t>动态闭环</w:t>
      </w:r>
      <w:r>
        <w:rPr>
          <w:rFonts w:ascii="宋体" w:hAnsi="宋体" w:eastAsia="宋体"/>
          <w:b w:val="0"/>
          <w:i w:val="0"/>
          <w:color w:val="2C2C2A"/>
          <w:sz w:val="24"/>
        </w:rPr>
        <w:t>而非一次性开关：</w:t>
      </w:r>
    </w:p>
    <w:p>
      <w:pPr>
        <w:spacing w:before="40" w:after="40" w:line="360" w:lineRule="auto"/>
        <w:ind w:left="480"/>
      </w:pPr>
      <w:r>
        <w:rPr>
          <w:rFonts w:ascii="宋体" w:hAnsi="宋体" w:eastAsia="宋体"/>
          <w:b/>
          <w:i w:val="0"/>
          <w:color w:val="185FA5"/>
          <w:sz w:val="24"/>
        </w:rPr>
        <w:t>• 识别→抑制→验证→护栏：</w:t>
      </w:r>
      <w:r>
        <w:rPr>
          <w:rFonts w:ascii="宋体" w:hAnsi="宋体" w:eastAsia="宋体"/>
          <w:b w:val="0"/>
          <w:i w:val="0"/>
          <w:color w:val="2C2C2A"/>
          <w:sz w:val="24"/>
        </w:rPr>
        <w:t>用检测层识别信号监测马太状态；用探索/稀缺/打散抑制；用作用信号判定有效；用护栏（黄/红）控制副作用。</w:t>
      </w:r>
    </w:p>
    <w:p>
      <w:pPr>
        <w:spacing w:before="40" w:after="40" w:line="360" w:lineRule="auto"/>
        <w:ind w:left="480"/>
      </w:pPr>
      <w:r>
        <w:rPr>
          <w:rFonts w:ascii="宋体" w:hAnsi="宋体" w:eastAsia="宋体"/>
          <w:b/>
          <w:i w:val="0"/>
          <w:color w:val="185FA5"/>
          <w:sz w:val="24"/>
        </w:rPr>
        <w:t>• 策略退出：</w:t>
      </w:r>
      <w:r>
        <w:rPr>
          <w:rFonts w:ascii="宋体" w:hAnsi="宋体" w:eastAsia="宋体"/>
          <w:b w:val="0"/>
          <w:i w:val="0"/>
          <w:color w:val="2C2C2A"/>
          <w:sz w:val="24"/>
        </w:rPr>
        <w:t>当生态多样性达到稳态目标、长尾覆盖达标后，逐步</w:t>
      </w:r>
      <w:r>
        <w:rPr>
          <w:rFonts w:ascii="宋体" w:hAnsi="宋体" w:eastAsia="宋体"/>
          <w:b/>
          <w:i w:val="0"/>
          <w:color w:val="2C2C2A"/>
          <w:sz w:val="24"/>
        </w:rPr>
        <w:t>回调</w:t>
      </w:r>
      <w:r>
        <w:rPr>
          <w:rFonts w:ascii="宋体" w:hAnsi="宋体" w:eastAsia="宋体"/>
          <w:b w:val="0"/>
          <w:i w:val="0"/>
          <w:color w:val="2C2C2A"/>
          <w:sz w:val="24"/>
        </w:rPr>
        <w:t xml:space="preserve"> β 与探索预算，让策略从“强干预”过渡到“轻维持”，避免长期过度探索。</w:t>
      </w:r>
    </w:p>
    <w:p>
      <w:pPr>
        <w:spacing w:before="40" w:after="40" w:line="360" w:lineRule="auto"/>
        <w:ind w:left="480"/>
      </w:pPr>
      <w:r>
        <w:rPr>
          <w:rFonts w:ascii="宋体" w:hAnsi="宋体" w:eastAsia="宋体"/>
          <w:b/>
          <w:i w:val="0"/>
          <w:color w:val="185FA5"/>
          <w:sz w:val="24"/>
        </w:rPr>
        <w:t>• 与 P4 联动：</w:t>
      </w:r>
      <w:r>
        <w:rPr>
          <w:rFonts w:ascii="宋体" w:hAnsi="宋体" w:eastAsia="宋体"/>
          <w:b w:val="0"/>
          <w:i w:val="0"/>
          <w:color w:val="2C2C2A"/>
          <w:sz w:val="24"/>
        </w:rPr>
        <w:t>整套策略本身也要接受 P4 的口径切换，保证评估口径与干预强度联动。</w:t>
      </w:r>
    </w:p>
    <w:p>
      <w:pPr>
        <w:spacing w:before="120" w:after="120" w:line="360" w:lineRule="auto"/>
        <w:ind w:firstLine="480"/>
        <w:jc w:val="both"/>
      </w:pPr>
      <w:r>
        <w:rPr>
          <w:rFonts w:ascii="宋体" w:hAnsi="宋体" w:eastAsia="宋体"/>
          <w:b/>
          <w:i w:val="0"/>
          <w:color w:val="2C2C2A"/>
          <w:sz w:val="24"/>
        </w:rPr>
        <w:t>退出判据（量化）</w:t>
      </w:r>
      <w:r>
        <w:rPr>
          <w:rFonts w:ascii="宋体" w:hAnsi="宋体" w:eastAsia="宋体"/>
          <w:b w:val="0"/>
          <w:i w:val="0"/>
          <w:color w:val="2C2C2A"/>
          <w:sz w:val="24"/>
        </w:rPr>
        <w:t>：长尾曝光覆盖率 ≥25%、Gini ≤0.50、头部份额 ≤72% 且持续 4 个统计周期，即可把 β 从 0.15 逐步降到 0.05、探索预算从 10% 收到 5%，只保留“轻维持”探索。</w:t>
      </w:r>
    </w:p>
    <w:p>
      <w:pPr>
        <w:keepNext/>
        <w:spacing w:before="240" w:after="120" w:line="360" w:lineRule="auto"/>
      </w:pPr>
      <w:r>
        <w:rPr>
          <w:rFonts w:ascii="黑体" w:hAnsi="黑体" w:eastAsia="黑体"/>
          <w:b/>
          <w:i w:val="0"/>
          <w:color w:val="185FA5"/>
          <w:sz w:val="30"/>
        </w:rPr>
        <w:t>6.1 与各产出物的关系</w:t>
      </w:r>
    </w:p>
    <w:tbl>
      <w:tblPr>
        <w:tblStyle w:val="TableGrid"/>
        <w:tblW w:type="auto" w:w="0"/>
        <w:jc w:val="center"/>
        <w:tblLook w:firstColumn="1" w:firstRow="1" w:lastColumn="0" w:lastRow="0" w:noHBand="0" w:noVBand="1" w:val="04A0"/>
      </w:tblPr>
      <w:tblGrid>
        <w:gridCol w:w="4323"/>
        <w:gridCol w:w="4323"/>
      </w:tblGrid>
      <w:tr>
        <w:tc>
          <w:tcPr>
            <w:tcW w:type="dxa" w:w="2608"/>
            <w:shd w:fill="185FA5"/>
          </w:tcPr>
          <w:p>
            <w:pPr>
              <w:jc w:val="center"/>
            </w:pPr>
            <w:r/>
            <w:r>
              <w:rPr>
                <w:rFonts w:ascii="黑体" w:hAnsi="黑体" w:eastAsia="黑体"/>
                <w:b/>
                <w:i w:val="0"/>
                <w:color w:val="FFFFFF"/>
                <w:sz w:val="21"/>
              </w:rPr>
              <w:t>产出物</w:t>
            </w:r>
          </w:p>
        </w:tc>
        <w:tc>
          <w:tcPr>
            <w:tcW w:type="dxa" w:w="6236"/>
            <w:shd w:fill="185FA5"/>
          </w:tcPr>
          <w:p>
            <w:pPr>
              <w:jc w:val="center"/>
            </w:pPr>
            <w:r/>
            <w:r>
              <w:rPr>
                <w:rFonts w:ascii="黑体" w:hAnsi="黑体" w:eastAsia="黑体"/>
                <w:b/>
                <w:i w:val="0"/>
                <w:color w:val="FFFFFF"/>
                <w:sz w:val="21"/>
              </w:rPr>
              <w:t>本策略承接 / 依赖</w:t>
            </w:r>
          </w:p>
        </w:tc>
      </w:tr>
      <w:tr>
        <w:tc>
          <w:tcPr>
            <w:tcW w:type="dxa" w:w="2608"/>
          </w:tcPr>
          <w:p>
            <w:pPr>
              <w:jc w:val="left"/>
            </w:pPr>
            <w:r/>
            <w:r>
              <w:rPr>
                <w:rFonts w:ascii="宋体" w:hAnsi="宋体" w:eastAsia="宋体"/>
                <w:b w:val="0"/>
                <w:i w:val="0"/>
                <w:color w:val="2C2C2A"/>
                <w:sz w:val="21"/>
              </w:rPr>
              <w:t>P1 质量框架</w:t>
            </w:r>
          </w:p>
        </w:tc>
        <w:tc>
          <w:tcPr>
            <w:tcW w:type="dxa" w:w="6236"/>
          </w:tcPr>
          <w:p>
            <w:pPr>
              <w:jc w:val="left"/>
            </w:pPr>
            <w:r/>
            <w:r>
              <w:rPr>
                <w:rFonts w:ascii="宋体" w:hAnsi="宋体" w:eastAsia="宋体"/>
                <w:b w:val="0"/>
                <w:i w:val="0"/>
                <w:color w:val="2C2C2A"/>
                <w:sz w:val="21"/>
              </w:rPr>
              <w:t>依赖其稀缺度、需求缺口、门禁、金标准锚点；并把“稀缺豁免”作为抑制机制之一</w:t>
            </w:r>
          </w:p>
        </w:tc>
      </w:tr>
      <w:tr>
        <w:tc>
          <w:tcPr>
            <w:tcW w:type="dxa" w:w="2608"/>
          </w:tcPr>
          <w:p>
            <w:pPr>
              <w:jc w:val="left"/>
            </w:pPr>
            <w:r/>
            <w:r>
              <w:rPr>
                <w:rFonts w:ascii="宋体" w:hAnsi="宋体" w:eastAsia="宋体"/>
                <w:b w:val="0"/>
                <w:i w:val="0"/>
                <w:color w:val="2C2C2A"/>
                <w:sz w:val="21"/>
              </w:rPr>
              <w:t>P2 分发链路</w:t>
            </w:r>
          </w:p>
        </w:tc>
        <w:tc>
          <w:tcPr>
            <w:tcW w:type="dxa" w:w="6236"/>
          </w:tcPr>
          <w:p>
            <w:pPr>
              <w:jc w:val="left"/>
            </w:pPr>
            <w:r/>
            <w:r>
              <w:rPr>
                <w:rFonts w:ascii="宋体" w:hAnsi="宋体" w:eastAsia="宋体"/>
                <w:b w:val="0"/>
                <w:i w:val="0"/>
                <w:color w:val="2C2C2A"/>
                <w:sz w:val="21"/>
              </w:rPr>
              <w:t>落实在阶段⑥探索/利用与阶段⑦稀缺豁免，作为反马太的工程载体</w:t>
            </w:r>
          </w:p>
        </w:tc>
      </w:tr>
      <w:tr>
        <w:tc>
          <w:tcPr>
            <w:tcW w:type="dxa" w:w="2608"/>
          </w:tcPr>
          <w:p>
            <w:pPr>
              <w:jc w:val="left"/>
            </w:pPr>
            <w:r/>
            <w:r>
              <w:rPr>
                <w:rFonts w:ascii="宋体" w:hAnsi="宋体" w:eastAsia="宋体"/>
                <w:b w:val="0"/>
                <w:i w:val="0"/>
                <w:color w:val="2C2C2A"/>
                <w:sz w:val="21"/>
              </w:rPr>
              <w:t>P4 指标方案</w:t>
            </w:r>
          </w:p>
        </w:tc>
        <w:tc>
          <w:tcPr>
            <w:tcW w:type="dxa" w:w="6236"/>
          </w:tcPr>
          <w:p>
            <w:pPr>
              <w:jc w:val="left"/>
            </w:pPr>
            <w:r/>
            <w:r>
              <w:rPr>
                <w:rFonts w:ascii="宋体" w:hAnsi="宋体" w:eastAsia="宋体"/>
                <w:b w:val="0"/>
                <w:i w:val="0"/>
                <w:color w:val="2C2C2A"/>
                <w:sz w:val="21"/>
              </w:rPr>
              <w:t>作用信号与护栏指标在此收束，并与稀疏/稳态口径切换联动</w:t>
            </w:r>
          </w:p>
        </w:tc>
      </w:tr>
    </w:tbl>
    <w:p>
      <w:pPr>
        <w:spacing w:after="80"/>
      </w:pPr>
    </w:p>
    <w:p>
      <w:pPr>
        <w:keepNext/>
        <w:spacing w:before="320" w:after="240" w:line="360" w:lineRule="auto"/>
        <w:jc w:val="center"/>
      </w:pPr>
      <w:r>
        <w:rPr>
          <w:rFonts w:ascii="黑体" w:hAnsi="黑体" w:eastAsia="黑体"/>
          <w:b/>
          <w:i w:val="0"/>
          <w:color w:val="0C447C"/>
          <w:sz w:val="36"/>
        </w:rPr>
        <w:t>七、结论</w:t>
      </w:r>
    </w:p>
    <w:p>
      <w:pPr>
        <w:spacing w:before="120" w:after="120" w:line="360" w:lineRule="auto"/>
        <w:ind w:firstLine="480"/>
        <w:jc w:val="both"/>
      </w:pPr>
      <w:r>
        <w:rPr>
          <w:rFonts w:ascii="宋体" w:hAnsi="宋体" w:eastAsia="宋体"/>
          <w:b w:val="0"/>
          <w:i w:val="0"/>
          <w:color w:val="2C2C2A"/>
          <w:sz w:val="24"/>
        </w:rPr>
        <w:t>本策略以“检测—探索—稀缺加权—打散重复—稀缺豁免”五层机制，在不损害长尾创作者可见性的前提下抑制头部被反复推荐的马太效应；以带</w:t>
      </w:r>
      <w:r>
        <w:rPr>
          <w:rFonts w:ascii="宋体" w:hAnsi="宋体" w:eastAsia="宋体"/>
          <w:b/>
          <w:i w:val="0"/>
          <w:color w:val="2C2C2A"/>
          <w:sz w:val="24"/>
        </w:rPr>
        <w:t>阈值/窗口/基线四元组</w:t>
      </w:r>
      <w:r>
        <w:rPr>
          <w:rFonts w:ascii="宋体" w:hAnsi="宋体" w:eastAsia="宋体"/>
          <w:b w:val="0"/>
          <w:i w:val="0"/>
          <w:color w:val="2C2C2A"/>
          <w:sz w:val="24"/>
        </w:rPr>
        <w:t>的识别信号判定“马太在恶化”，以带</w:t>
      </w:r>
      <w:r>
        <w:rPr>
          <w:rFonts w:ascii="宋体" w:hAnsi="宋体" w:eastAsia="宋体"/>
          <w:b/>
          <w:i w:val="0"/>
          <w:color w:val="2C2C2A"/>
          <w:sz w:val="24"/>
        </w:rPr>
        <w:t>对照与显著性</w:t>
      </w:r>
      <w:r>
        <w:rPr>
          <w:rFonts w:ascii="宋体" w:hAnsi="宋体" w:eastAsia="宋体"/>
          <w:b w:val="0"/>
          <w:i w:val="0"/>
          <w:color w:val="2C2C2A"/>
          <w:sz w:val="24"/>
        </w:rPr>
        <w:t>的作用信号判定“是否有效”，并以</w:t>
      </w:r>
      <w:r>
        <w:rPr>
          <w:rFonts w:ascii="宋体" w:hAnsi="宋体" w:eastAsia="宋体"/>
          <w:b/>
          <w:i w:val="0"/>
          <w:color w:val="2C2C2A"/>
          <w:sz w:val="24"/>
        </w:rPr>
        <w:t>黄/红分级的量化护栏</w:t>
      </w:r>
      <w:r>
        <w:rPr>
          <w:rFonts w:ascii="宋体" w:hAnsi="宋体" w:eastAsia="宋体"/>
          <w:b w:val="0"/>
          <w:i w:val="0"/>
          <w:color w:val="2C2C2A"/>
          <w:sz w:val="24"/>
        </w:rPr>
        <w:t>控制过度探索、稀缺滥用等副作用，兼顾“救活长尾”与“不伤体验”这对张力。</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5F5E5A"/>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2C2C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