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Hospital Patient Pathway</w:t>
        <w:br/>
        <w:t>Agile Workshop Version 2</w:t>
      </w:r>
    </w:p>
    <w:p>
      <w:pPr>
        <w:pStyle w:val="Subtitle"/>
      </w:pPr>
      <w:r>
        <w:t>Project plan and sprint backlog</w:t>
      </w:r>
    </w:p>
    <w:p>
      <w:r>
        <w:t>Baseline 1402859  |  Reviewed 20 October 2026</w:t>
      </w:r>
    </w:p>
    <w:p>
      <w:r>
        <w:t>This workshop plans the next increment of the hospital patient pathway using the current version2 implementation. The executable workflow and local SP05 integration have recorded evidence, while several original acceptance rules remain unmet. The team should prioritise those gaps and keep completion claims tied to the correct model and test version.</w:t>
      </w:r>
    </w:p>
    <w:p>
      <w:pPr>
        <w:pStyle w:val="Heading1"/>
      </w:pPr>
      <w:r>
        <w:t>Part 1 Understand the case study</w:t>
      </w:r>
    </w:p>
    <w:p>
      <w:pPr>
        <w:pStyle w:val="Heading2"/>
      </w:pPr>
      <w:r>
        <w:t>Organisation and participants</w:t>
      </w:r>
    </w:p>
    <w:p>
      <w:r>
        <w:t>The hospital coordinates referrals, outpatient appointments, treatment, funding, payments, enquiries and clinical letters. Clinical decisions belong to Consultants and the Clinical Team; booking teams, Medical Secretaries, Finance, Call Handling, Clinical Nurse Specialists, Patient Pathway Coordinators and Administrative Management carry out their respective operations.</w:t>
      </w:r>
    </w:p>
    <w:p>
      <w:r>
        <w:t>The executable BPMN has seven external participants: Patient, Referring Organisation, Scheduling Service, Correspondence Service, Payment Provider, Funding Organisation, and a combined Treatment, Laboratory and Imaging Service. The strategic iStar model uses 15 actors with four external actors and treats clinical support as internal. That boundary revision does not by itself change executable interfaces.</w:t>
      </w:r>
    </w:p>
    <w:p>
      <w:pPr>
        <w:pStyle w:val="Heading2"/>
      </w:pPr>
      <w:r>
        <w:t>Main process and business problem</w:t>
      </w:r>
    </w:p>
    <w:p>
      <w:r>
        <w:t>Create an instance and receive a referral; check supporting documents; review suitability; book and attend a consultation; record assessment and consent; authorise a treatment request; arrange internal or external resources; clear funding or payment; review treatment fitness; complete correspondence and authorised closure. Nine non-interrupting event subprocesses handle changes, cancellations, refunds, enquiries, letters, follow-up, monitoring and access or downtime.</w:t>
      </w:r>
    </w:p>
    <w:p>
      <w:r>
        <w:t>The intended outcome is a traceable pathway with clear responsibility and safe handling of missing information, unavailable capacity, uncertain payments and clinical changes. Version2 must still demonstrate all of these safeguards against its acceptance criteria.</w:t>
      </w:r>
    </w:p>
    <w:p>
      <w:pPr>
        <w:pStyle w:val="Heading2"/>
      </w:pPr>
      <w:r>
        <w:t>Rules exceptions and information</w:t>
      </w:r>
    </w:p>
    <w:p>
      <w:r>
        <w:t>Required rules include complete referral review, consent before treatment, funding and payment checks, clinical stop priority, approved changes, controlled refunds, approved letters and authorised access. These are acceptance targets; some remain gaps. Use R-01 to R-13, BR-01 to BR-11 and AT-01 to AT-16 from E3 rather than the older workshop numbering.</w:t>
      </w:r>
    </w:p>
    <w:p>
      <w:r>
        <w:t>Capture synthetic patient and referral IDs, review decisions, dates, consent, authorising staff, treatment plans, financial references, enquiry outcomes and audit records. Test missing documents, rejection, unavailable slots, cancellations, absent consent, funding refusal, payment ambiguity, treatment change, refund refusal and delayed letters.</w:t>
      </w:r>
    </w:p>
    <w:p>
      <w:r>
        <w:t>SP05 now queries external availability over HTTP. A false response enters pending capacity; a failed HTTP call is a technical incident after retries. Resource release remains a separate asynchronous message.</w:t>
      </w:r>
    </w:p>
    <w:p>
      <w:r>
        <w:br w:type="page"/>
      </w:r>
    </w:p>
    <w:p>
      <w:pPr>
        <w:pStyle w:val="Heading1"/>
      </w:pPr>
      <w:r>
        <w:t>Part 2 Identify the main deliverables</w:t>
      </w:r>
    </w:p>
    <w:p>
      <w:r>
        <w:t>The review points below are proposed sequencing, not agreed calendar deadlines. Evidence IDs are resolved in the final source register. A08 covers actual team activity; repository artefacts alone do not prove an individual's contribution.</w:t>
      </w:r>
    </w:p>
    <w:tbl>
      <w:tblPr>
        <w:tblW w:type="auto" w:w="0"/>
        <w:jc w:val="center"/>
        <w:tblLayout w:type="fixed"/>
        <w:tblLook w:firstColumn="1" w:firstRow="1" w:lastColumn="0" w:lastRow="0" w:noHBand="0" w:noVBand="1" w:val="04A0"/>
      </w:tblPr>
      <w:tblGrid>
        <w:gridCol w:w="2376"/>
        <w:gridCol w:w="1440"/>
        <w:gridCol w:w="6408"/>
      </w:tblGrid>
      <w:tr>
        <w:trPr>
          <w:cantSplit/>
          <w:tblHeader/>
        </w:trPr>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EF4"/>
          </w:tcPr>
          <w:p>
            <w:pPr>
              <w:spacing w:after="40" w:before="40" w:line="245" w:lineRule="auto"/>
            </w:pPr>
            <w:r>
              <w:rPr>
                <w:b/>
                <w:sz w:val="19"/>
              </w:rPr>
              <w:t>Deliverable</w:t>
            </w:r>
          </w:p>
        </w:tc>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EF4"/>
          </w:tcPr>
          <w:p>
            <w:pPr>
              <w:spacing w:after="40" w:before="40" w:line="245" w:lineRule="auto"/>
            </w:pPr>
            <w:r>
              <w:rPr>
                <w:b/>
                <w:sz w:val="19"/>
              </w:rPr>
              <w:t>Review point</w:t>
            </w:r>
          </w:p>
        </w:tc>
        <w:tc>
          <w:tcPr>
            <w:tcW w:type="dxa" w:w="64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EF4"/>
          </w:tcPr>
          <w:p>
            <w:pPr>
              <w:spacing w:after="40" w:before="40" w:line="245" w:lineRule="auto"/>
            </w:pPr>
            <w:r>
              <w:rPr>
                <w:b/>
                <w:sz w:val="19"/>
              </w:rPr>
              <w:t>Acceptance and evidence</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Requirements and case summary</w:t>
            </w:r>
          </w:p>
        </w:tc>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Sprint 1</w:t>
            </w:r>
          </w:p>
        </w:tc>
        <w:tc>
          <w:tcPr>
            <w:tcW w:type="dxa" w:w="64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Use current R/BR/AT mapping, document assumptions and trace case needs. E3; PB01.</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Operational and executable BPMN</w:t>
            </w:r>
          </w:p>
        </w:tc>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Sprint 1</w:t>
            </w:r>
          </w:p>
        </w:tc>
        <w:tc>
          <w:tcPr>
            <w:tcW w:type="dxa" w:w="64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Deploy the current main BPMN and 37 forms; inspect nine event subprocesses. E1, E2.</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Camunda forms</w:t>
            </w:r>
          </w:p>
        </w:tc>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Sprints 1 to 3</w:t>
            </w:r>
          </w:p>
        </w:tc>
        <w:tc>
          <w:tcPr>
            <w:tcW w:type="dxa" w:w="64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Validate required inputs and all 37 forms; separate API completion from browser evidence. E2, E4, E5.</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External service prototype</w:t>
            </w:r>
          </w:p>
        </w:tc>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Sprint 1</w:t>
            </w:r>
          </w:p>
        </w:tc>
        <w:tc>
          <w:tcPr>
            <w:tcW w:type="dxa" w:w="64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SP05 true, false and 503 results follow the correct routes with identifiable HTTP evidence. E5, E7.</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Acceptance plan</w:t>
            </w:r>
          </w:p>
        </w:tc>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Sprint 1</w:t>
            </w:r>
          </w:p>
        </w:tc>
        <w:tc>
          <w:tcPr>
            <w:tcW w:type="dxa" w:w="64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AT-01 to AT-16 retain original criteria and name the exact target version. E3.</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Demonstration and decisions</w:t>
            </w:r>
          </w:p>
        </w:tc>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Sprint 4</w:t>
            </w:r>
          </w:p>
        </w:tc>
        <w:tc>
          <w:tcPr>
            <w:tcW w:type="dxa" w:w="64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Show the integrated increment and justify simulation, model and integration choices. PB18.</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Strategic BPMN</w:t>
            </w:r>
          </w:p>
        </w:tc>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Sprint 3</w:t>
            </w:r>
          </w:p>
        </w:tc>
        <w:tc>
          <w:tcPr>
            <w:tcW w:type="dxa" w:w="64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Review a distinct business-level model and its operational mapping. PB14.</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Integrated iStar SD and SR</w:t>
            </w:r>
          </w:p>
        </w:tc>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Sprint 3</w:t>
            </w:r>
          </w:p>
        </w:tc>
        <w:tc>
          <w:tcPr>
            <w:tcW w:type="dxa" w:w="64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Check 15 actors, 86 elements, 27 dependencies and source traceability. E6.</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Requirements consistency assessment</w:t>
            </w:r>
          </w:p>
        </w:tc>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Sprint 3</w:t>
            </w:r>
          </w:p>
        </w:tc>
        <w:tc>
          <w:tcPr>
            <w:tcW w:type="dxa" w:w="64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Classify supported, partial and unsupported requirements with actions. PB16.</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Acceptance assessment</w:t>
            </w:r>
          </w:p>
        </w:tc>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Sprint 4</w:t>
            </w:r>
          </w:p>
        </w:tc>
        <w:tc>
          <w:tcPr>
            <w:tcW w:type="dxa" w:w="64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Retain historical failures; identify each new retest and remaining gap. E4, E5.</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Agile and contribution evidence</w:t>
            </w:r>
          </w:p>
        </w:tc>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Every sprint</w:t>
            </w:r>
          </w:p>
        </w:tc>
        <w:tc>
          <w:tcPr>
            <w:tcW w:type="dxa" w:w="64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Dated standups, feedback, reviews, handovers and personal evidence. PB19.</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Release and deployment guidance</w:t>
            </w:r>
          </w:p>
        </w:tc>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Sprints 1 and 4</w:t>
            </w:r>
          </w:p>
        </w:tc>
        <w:tc>
          <w:tcPr>
            <w:tcW w:type="dxa" w:w="64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Identify commit, BPMN hash, definition and local configuration. E7; PB12.</w:t>
            </w:r>
          </w:p>
        </w:tc>
      </w:tr>
    </w:tbl>
    <w:p>
      <w:pPr>
        <w:spacing w:after="0"/>
      </w:pPr>
    </w:p>
    <w:p>
      <w:pPr>
        <w:pStyle w:val="Heading2"/>
      </w:pPr>
      <w:r>
        <w:t>Planning assumptions</w:t>
      </w:r>
    </w:p>
    <w:p>
      <w:r>
        <w:t>Keep version1 and frozen acceptance inputs as historical baselines. Use a test cluster and synthetic data. Local Postman Mock evidence does not prove a live hospital integration or cloud Mock connectivity. Owners and estimates below are carried over from the supplied workshop; estimates are planning units whose scale and remaining effort the team must confirm.</w:t>
      </w:r>
    </w:p>
    <w:p>
      <w:r>
        <w:t>The former workshop mixed R01/AC references and some undefined task numbers. This revision uses the acceptance catalogue's R-xx and AT-xx references. Reporting and accessibility needs remain explicit case requirements until their mapping is agreed; they are not silently relabelled as fully covered.</w:t>
      </w:r>
    </w:p>
    <w:p>
      <w:r>
        <w:br w:type="page"/>
      </w:r>
    </w:p>
    <w:p>
      <w:pPr>
        <w:pStyle w:val="Heading1"/>
      </w:pPr>
      <w:r>
        <w:t>Part 3 Product backlog</w:t>
      </w:r>
    </w:p>
    <w:p>
      <w:pPr>
        <w:spacing w:after="60" w:line="240" w:lineRule="auto"/>
      </w:pPr>
      <w:r>
        <w:t>Status describes repository evidence. First and second owners are review/fix assignments. Confirmed authorship follows the 16 case-study business activities in the final contribution section.</w:t>
      </w:r>
    </w:p>
    <w:p>
      <w:pPr>
        <w:pStyle w:val="Heading2"/>
        <w:spacing w:after="80" w:line="240" w:lineRule="auto" w:before="140"/>
      </w:pPr>
      <w:r>
        <w:t>PB01 Requirements and assumptions</w:t>
      </w:r>
    </w:p>
    <w:p>
      <w:pPr>
        <w:spacing w:after="60" w:line="240" w:lineRule="auto"/>
      </w:pPr>
      <w:r>
        <w:t>Reconcile the case requirements with the current acceptance catalogue and document unresolved scope decisions.</w:t>
      </w:r>
    </w:p>
    <w:p>
      <w:pPr>
        <w:spacing w:after="60" w:line="240" w:lineRule="auto"/>
      </w:pPr>
      <w:r>
        <w:t>Priority: High. Estimate: 3. First owner: Xinran Zhang. Second owner: Cathleen Liu.</w:t>
      </w:r>
    </w:p>
    <w:p>
      <w:pPr>
        <w:spacing w:after="60" w:line="240" w:lineRule="auto"/>
      </w:pPr>
      <w:r>
        <w:t>Requirements: R-01 to R-13; BR-01 to BR-11. Dependencies: None.</w:t>
      </w:r>
    </w:p>
    <w:p>
      <w:pPr>
        <w:spacing w:after="60" w:line="240" w:lineRule="auto"/>
      </w:pPr>
      <w:r>
        <w:rPr>
          <w:b/>
        </w:rPr>
        <w:t xml:space="preserve">Acceptance: </w:t>
      </w:r>
      <w:r>
        <w:t>Every requirement has a source, owner and test link; the clinical-support boundary difference is explicit.</w:t>
      </w:r>
    </w:p>
    <w:p>
      <w:pPr>
        <w:spacing w:after="60" w:line="240" w:lineRule="auto"/>
      </w:pPr>
      <w:r>
        <w:t>Evidence: E3, E6; reviewed requirements crosswalk. Status: Needs review.</w:t>
      </w:r>
    </w:p>
    <w:p>
      <w:pPr>
        <w:pStyle w:val="Heading2"/>
        <w:spacing w:after="80" w:line="240" w:lineRule="auto" w:before="140"/>
      </w:pPr>
      <w:r>
        <w:t>PB02 Operational patient pathway</w:t>
      </w:r>
    </w:p>
    <w:p>
      <w:pPr>
        <w:spacing w:after="60" w:line="240" w:lineRule="auto"/>
      </w:pPr>
      <w:r>
        <w:t>Maintain the executable Process_HPAS main flow and nine non-interrupting event subprocesses.</w:t>
      </w:r>
    </w:p>
    <w:p>
      <w:pPr>
        <w:spacing w:after="60" w:line="240" w:lineRule="auto"/>
      </w:pPr>
      <w:r>
        <w:t>Priority: High. Estimate: 5. First owner: Cathleen Liu. Second owner: Xinran Zhang.</w:t>
      </w:r>
    </w:p>
    <w:p>
      <w:pPr>
        <w:spacing w:after="60" w:line="240" w:lineRule="auto"/>
      </w:pPr>
      <w:r>
        <w:t>Requirements: A01; R-01, R-13. Dependencies: PB01.</w:t>
      </w:r>
    </w:p>
    <w:p>
      <w:pPr>
        <w:spacing w:after="60" w:line="240" w:lineRule="auto"/>
      </w:pPr>
      <w:r>
        <w:rPr>
          <w:b/>
        </w:rPr>
        <w:t xml:space="preserve">Acceptance: </w:t>
      </w:r>
      <w:r>
        <w:t>The main BPMN and 37 forms deploy together; the 54 Java types and one HTTP Connector type match the current model.</w:t>
      </w:r>
    </w:p>
    <w:p>
      <w:pPr>
        <w:spacing w:after="60" w:line="240" w:lineRule="auto"/>
      </w:pPr>
      <w:r>
        <w:t>Evidence: E1, E2; deployment and schema checks. Status: Implemented; scoped evidence.</w:t>
      </w:r>
    </w:p>
    <w:p>
      <w:pPr>
        <w:pStyle w:val="Heading2"/>
        <w:spacing w:after="80" w:line="240" w:lineRule="auto" w:before="140"/>
      </w:pPr>
      <w:r>
        <w:t>PB03 Referral review</w:t>
      </w:r>
    </w:p>
    <w:p>
      <w:pPr>
        <w:spacing w:after="60" w:line="240" w:lineRule="auto"/>
      </w:pPr>
      <w:r>
        <w:t>Create the instance, correlate Referral received by referralId, then check documents and record accept, reject, information or redirect.</w:t>
      </w:r>
    </w:p>
    <w:p>
      <w:pPr>
        <w:spacing w:after="60" w:line="240" w:lineRule="auto"/>
      </w:pPr>
      <w:r>
        <w:t>Priority: High. Estimate: 5. First owner: Xinran Zhang. Second owner: Chenyu Yang.</w:t>
      </w:r>
    </w:p>
    <w:p>
      <w:pPr>
        <w:spacing w:after="60" w:line="240" w:lineRule="auto"/>
      </w:pPr>
      <w:r>
        <w:t>Requirements: R-02; BR-01; AT-02 to AT-04. Dependencies: PB02.</w:t>
      </w:r>
    </w:p>
    <w:p>
      <w:pPr>
        <w:spacing w:after="60" w:line="240" w:lineRule="auto"/>
      </w:pPr>
      <w:r>
        <w:rPr>
          <w:b/>
        </w:rPr>
        <w:t xml:space="preserve">Acceptance: </w:t>
      </w:r>
      <w:r>
        <w:t>Missing-information replies resume only the target referral; rejection does not enter treatment.</w:t>
      </w:r>
    </w:p>
    <w:p>
      <w:pPr>
        <w:spacing w:after="60" w:line="240" w:lineRule="auto"/>
      </w:pPr>
      <w:r>
        <w:t>Evidence: E1, E2, E4; AT-02 to AT-04 traces. Status: Implemented; historical route evidence.</w:t>
      </w:r>
    </w:p>
    <w:p>
      <w:pPr>
        <w:pStyle w:val="Heading2"/>
        <w:spacing w:after="80" w:line="240" w:lineRule="auto" w:before="140"/>
      </w:pPr>
      <w:r>
        <w:t>PB04 Appointments and patient contact</w:t>
      </w:r>
    </w:p>
    <w:p>
      <w:pPr>
        <w:spacing w:after="60" w:line="240" w:lineRule="auto"/>
      </w:pPr>
      <w:r>
        <w:t>Keep booking, telephone contact, appointment changes and cancellation distinct; add the missing identity and date guards.</w:t>
      </w:r>
    </w:p>
    <w:p>
      <w:pPr>
        <w:spacing w:after="60" w:line="240" w:lineRule="auto"/>
      </w:pPr>
      <w:r>
        <w:t>Priority: High. Estimate: 7. First owner: Cathleen Liu. Second owner: Chenyu Yang.</w:t>
      </w:r>
    </w:p>
    <w:p>
      <w:pPr>
        <w:spacing w:after="60" w:line="240" w:lineRule="auto"/>
      </w:pPr>
      <w:r>
        <w:t>Requirements: R-03, R-09; BR-02, BR-08; AT-05, AT-11, AT-12. Dependencies: PB03.</w:t>
      </w:r>
    </w:p>
    <w:p>
      <w:pPr>
        <w:spacing w:after="60" w:line="240" w:lineRule="auto"/>
      </w:pPr>
      <w:r>
        <w:rPr>
          <w:b/>
        </w:rPr>
        <w:t xml:space="preserve">Acceptance: </w:t>
      </w:r>
      <w:r>
        <w:t>Reject unverified changes and dates beyond the requested window; apply the 14-day contact rule using dates.</w:t>
      </w:r>
    </w:p>
    <w:p>
      <w:pPr>
        <w:spacing w:after="60" w:line="240" w:lineRule="auto"/>
      </w:pPr>
      <w:r>
        <w:t>Evidence: E4; new negative and boundary tests. Status: Partial; rule gaps.</w:t>
      </w:r>
    </w:p>
    <w:p>
      <w:pPr>
        <w:pStyle w:val="Heading2"/>
        <w:spacing w:after="80" w:line="240" w:lineRule="auto" w:before="140"/>
      </w:pPr>
      <w:r>
        <w:t>PB05 Consent and treatment authorisation</w:t>
      </w:r>
    </w:p>
    <w:p>
      <w:pPr>
        <w:spacing w:after="60" w:line="240" w:lineRule="auto"/>
      </w:pPr>
      <w:r>
        <w:t>Capture assessment, consent and a complete authorised treatment request before booking resources.</w:t>
      </w:r>
    </w:p>
    <w:p>
      <w:pPr>
        <w:spacing w:after="60" w:line="240" w:lineRule="auto"/>
      </w:pPr>
      <w:r>
        <w:t>Priority: High. Estimate: 3. First owner: Xinran Zhang. Second owner: Songjie Qiu.</w:t>
      </w:r>
    </w:p>
    <w:p>
      <w:pPr>
        <w:spacing w:after="60" w:line="240" w:lineRule="auto"/>
      </w:pPr>
      <w:r>
        <w:t>Requirements: R-04; BR-03; AT-06. Dependencies: PB02.</w:t>
      </w:r>
    </w:p>
    <w:p>
      <w:pPr>
        <w:spacing w:after="60" w:line="240" w:lineRule="auto"/>
      </w:pPr>
      <w:r>
        <w:rPr>
          <w:b/>
        </w:rPr>
        <w:t xml:space="preserve">Acceptance: </w:t>
      </w:r>
      <w:r>
        <w:t>Refusal blocks booking and treatment; treatmentPlanId, authorisingClinician, requiredStartDate and resourceType are validated.</w:t>
      </w:r>
    </w:p>
    <w:p>
      <w:pPr>
        <w:spacing w:after="60" w:line="240" w:lineRule="auto"/>
      </w:pPr>
      <w:r>
        <w:t>Evidence: E2, E4, E5; form and refusal evidence. Status: Implemented; scoped evidence.</w:t>
      </w:r>
    </w:p>
    <w:p>
      <w:r>
        <w:br w:type="page"/>
      </w:r>
    </w:p>
    <w:p>
      <w:pPr>
        <w:pStyle w:val="Heading1"/>
      </w:pPr>
      <w:r>
        <w:t>Product backlog continued</w:t>
      </w:r>
    </w:p>
    <w:p>
      <w:pPr>
        <w:pStyle w:val="Heading2"/>
        <w:spacing w:after="80" w:line="240" w:lineRule="auto" w:before="140"/>
      </w:pPr>
      <w:r>
        <w:t>PB06 Funding payments and refunds</w:t>
      </w:r>
    </w:p>
    <w:p>
      <w:pPr>
        <w:spacing w:after="60" w:line="240" w:lineRule="auto"/>
      </w:pPr>
      <w:r>
        <w:t>Complete funding refusal, prior-charge protection, explicit refund authorisation and a separate transfer route.</w:t>
      </w:r>
    </w:p>
    <w:p>
      <w:pPr>
        <w:spacing w:after="60" w:line="240" w:lineRule="auto"/>
      </w:pPr>
      <w:r>
        <w:t>Priority: High. Estimate: 7. First owner: Cathleen Liu. Second owner: Xinran Zhang.</w:t>
      </w:r>
    </w:p>
    <w:p>
      <w:pPr>
        <w:spacing w:after="60" w:line="240" w:lineRule="auto"/>
      </w:pPr>
      <w:r>
        <w:t>Requirements: R-05, R-06, R-10; BR-04, BR-05, BR-09; AT-07, AT-08, AT-13. Dependencies: PB05.</w:t>
      </w:r>
    </w:p>
    <w:p>
      <w:pPr>
        <w:spacing w:after="60" w:line="240" w:lineRule="auto"/>
      </w:pPr>
      <w:r>
        <w:rPr>
          <w:b/>
        </w:rPr>
        <w:t xml:space="preserve">Acceptance: </w:t>
      </w:r>
      <w:r>
        <w:t>No unauthorised treatment or repeat charge; refundAuthorised=false is rejected even with an approver name.</w:t>
      </w:r>
    </w:p>
    <w:p>
      <w:pPr>
        <w:spacing w:after="60" w:line="240" w:lineRule="auto"/>
      </w:pPr>
      <w:r>
        <w:t>Evidence: E4; payment-call counts and negative worker tests. Status: Partial; failing criteria.</w:t>
      </w:r>
    </w:p>
    <w:p>
      <w:pPr>
        <w:pStyle w:val="Heading2"/>
        <w:spacing w:after="80" w:line="240" w:lineRule="auto" w:before="140"/>
      </w:pPr>
      <w:r>
        <w:t>PB07 Treatment review and changes</w:t>
      </w:r>
    </w:p>
    <w:p>
      <w:pPr>
        <w:spacing w:after="60" w:line="240" w:lineRule="auto"/>
      </w:pPr>
      <w:r>
        <w:t>Retain fit, delay and change paths; add explicit clinical stop priority and move financial recheck before applying a cost-changing plan.</w:t>
      </w:r>
    </w:p>
    <w:p>
      <w:pPr>
        <w:spacing w:after="60" w:line="240" w:lineRule="auto"/>
      </w:pPr>
      <w:r>
        <w:t>Priority: High. Estimate: 5. First owner: Xinran Zhang. Second owner: Cathleen Liu.</w:t>
      </w:r>
    </w:p>
    <w:p>
      <w:pPr>
        <w:spacing w:after="60" w:line="240" w:lineRule="auto"/>
      </w:pPr>
      <w:r>
        <w:t>Requirements: R-07, R-08; BR-06, BR-07; AT-09, AT-10. Dependencies: PB05, PB06.</w:t>
      </w:r>
    </w:p>
    <w:p>
      <w:pPr>
        <w:spacing w:after="60" w:line="240" w:lineRule="auto"/>
      </w:pPr>
      <w:r>
        <w:rPr>
          <w:b/>
        </w:rPr>
        <w:t xml:space="preserve">Acceptance: </w:t>
      </w:r>
      <w:r>
        <w:t>Stop prevents change implementation; unapproved changes never apply; finance review precedes ApplyChange.</w:t>
      </w:r>
    </w:p>
    <w:p>
      <w:pPr>
        <w:spacing w:after="60" w:line="240" w:lineRule="auto"/>
      </w:pPr>
      <w:r>
        <w:t>Evidence: E4; ordered traces and stop tests. Status: Partial; failing criteria.</w:t>
      </w:r>
    </w:p>
    <w:p>
      <w:pPr>
        <w:pStyle w:val="Heading2"/>
        <w:spacing w:after="80" w:line="240" w:lineRule="auto" w:before="140"/>
      </w:pPr>
      <w:r>
        <w:t>PB08 Clinic letters and reminders</w:t>
      </w:r>
    </w:p>
    <w:p>
      <w:pPr>
        <w:spacing w:after="60" w:line="240" w:lineRule="auto"/>
      </w:pPr>
      <w:r>
        <w:t>Maintain drafting, consultant approval and administrative checks; repair recurring reminders and separate repeated-letter data.</w:t>
      </w:r>
    </w:p>
    <w:p>
      <w:pPr>
        <w:spacing w:after="60" w:line="240" w:lineRule="auto"/>
      </w:pPr>
      <w:r>
        <w:t>Priority: High. Estimate: 3. First owner: Chenyu Yang. Second owner: Xinran Zhang.</w:t>
      </w:r>
    </w:p>
    <w:p>
      <w:pPr>
        <w:spacing w:after="60" w:line="240" w:lineRule="auto"/>
      </w:pPr>
      <w:r>
        <w:t>Requirements: R-11; BR-10; AT-14. Dependencies: PB02.</w:t>
      </w:r>
    </w:p>
    <w:p>
      <w:pPr>
        <w:spacing w:after="60" w:line="240" w:lineRule="auto"/>
      </w:pPr>
      <w:r>
        <w:rPr>
          <w:b/>
        </w:rPr>
        <w:t xml:space="preserve">Acceptance: </w:t>
      </w:r>
      <w:r>
        <w:t>Unapproved or clinically suspect letters are not distributed; weekly reminders recur until preparation finishes.</w:t>
      </w:r>
    </w:p>
    <w:p>
      <w:pPr>
        <w:spacing w:after="60" w:line="240" w:lineRule="auto"/>
      </w:pPr>
      <w:r>
        <w:t>Evidence: E4, E5; timer and repeated-letter tests. Status: Partial; reminder and isolation gaps.</w:t>
      </w:r>
    </w:p>
    <w:p>
      <w:pPr>
        <w:pStyle w:val="Heading2"/>
        <w:spacing w:after="80" w:line="240" w:lineRule="auto" w:before="140"/>
      </w:pPr>
      <w:r>
        <w:t>PB09 Patient enquiries</w:t>
      </w:r>
    </w:p>
    <w:p>
      <w:pPr>
        <w:spacing w:after="60" w:line="240" w:lineRule="auto"/>
      </w:pPr>
      <w:r>
        <w:t>Route administrative, clinical and financial enquiries to the appropriate teams and record their outcomes.</w:t>
      </w:r>
    </w:p>
    <w:p>
      <w:pPr>
        <w:spacing w:after="60" w:line="240" w:lineRule="auto"/>
      </w:pPr>
      <w:r>
        <w:t>Priority: Medium. Estimate: 3. First owner: Chenyu Yang. Second owner: Songjie Qiu.</w:t>
      </w:r>
    </w:p>
    <w:p>
      <w:pPr>
        <w:spacing w:after="60" w:line="240" w:lineRule="auto"/>
      </w:pPr>
      <w:r>
        <w:t>Requirements: R-11; BR-10; AT-14. Dependencies: PB02.</w:t>
      </w:r>
    </w:p>
    <w:p>
      <w:pPr>
        <w:spacing w:after="60" w:line="240" w:lineRule="auto"/>
      </w:pPr>
      <w:r>
        <w:rPr>
          <w:b/>
        </w:rPr>
        <w:t xml:space="preserve">Acceptance: </w:t>
      </w:r>
      <w:r>
        <w:t>Urgency and enquiry category select the correct task; closure records the responsible handler.</w:t>
      </w:r>
    </w:p>
    <w:p>
      <w:pPr>
        <w:spacing w:after="60" w:line="240" w:lineRule="auto"/>
      </w:pPr>
      <w:r>
        <w:t>Evidence: E1, E2, E4; enquiry traces. Status: Implemented; historical route evidence.</w:t>
      </w:r>
    </w:p>
    <w:p>
      <w:pPr>
        <w:pStyle w:val="Heading2"/>
        <w:spacing w:after="80" w:line="240" w:lineRule="auto" w:before="140"/>
      </w:pPr>
      <w:r>
        <w:t>PB10 Access audit and recovery</w:t>
      </w:r>
    </w:p>
    <w:p>
      <w:pPr>
        <w:spacing w:after="60" w:line="240" w:lineRule="auto"/>
      </w:pPr>
      <w:r>
        <w:t>Verify role isolation, preserve worker audit boundaries and implement a restoration message correlated by incidentReference.</w:t>
      </w:r>
    </w:p>
    <w:p>
      <w:pPr>
        <w:spacing w:after="60" w:line="240" w:lineRule="auto"/>
      </w:pPr>
      <w:r>
        <w:t>Priority: High. Estimate: 3. First owner: Cathleen Liu. Second owner: Songjie Qiu.</w:t>
      </w:r>
    </w:p>
    <w:p>
      <w:pPr>
        <w:spacing w:after="60" w:line="240" w:lineRule="auto"/>
      </w:pPr>
      <w:r>
        <w:t>Requirements: R-12; BR-11; AT-15. Dependencies: PB01, PB02.</w:t>
      </w:r>
    </w:p>
    <w:p>
      <w:pPr>
        <w:spacing w:after="60" w:line="240" w:lineRule="auto"/>
      </w:pPr>
      <w:r>
        <w:rPr>
          <w:b/>
        </w:rPr>
        <w:t xml:space="preserve">Acceptance: </w:t>
      </w:r>
      <w:r>
        <w:t>Unauthorised operations fail; only the matching restoration releases reconciliation; Connector evidence is retained separately.</w:t>
      </w:r>
    </w:p>
    <w:p>
      <w:pPr>
        <w:spacing w:after="60" w:line="240" w:lineRule="auto"/>
      </w:pPr>
      <w:r>
        <w:t>Evidence: E4, E7; role tests and restoration traces. Status: Partial; recovery and role gaps.</w:t>
      </w:r>
    </w:p>
    <w:p>
      <w:r>
        <w:br w:type="page"/>
      </w:r>
    </w:p>
    <w:p>
      <w:pPr>
        <w:pStyle w:val="Heading1"/>
      </w:pPr>
      <w:r>
        <w:t>Product backlog continued</w:t>
      </w:r>
    </w:p>
    <w:p>
      <w:pPr>
        <w:pStyle w:val="Heading2"/>
        <w:spacing w:after="80" w:line="240" w:lineRule="auto" w:before="140"/>
      </w:pPr>
      <w:r>
        <w:t>PB11 Acceptance test plan</w:t>
      </w:r>
    </w:p>
    <w:p>
      <w:pPr>
        <w:spacing w:after="60" w:line="240" w:lineRule="auto"/>
      </w:pPr>
      <w:r>
        <w:t>Keep the original criteria, frozen-snapshot results and current SP05 checks clearly separated.</w:t>
      </w:r>
    </w:p>
    <w:p>
      <w:pPr>
        <w:spacing w:after="60" w:line="240" w:lineRule="auto"/>
      </w:pPr>
      <w:r>
        <w:t>Priority: High. Estimate: 7. First owner: Songjie Qiu. Second owner: Cathleen Liu.</w:t>
      </w:r>
    </w:p>
    <w:p>
      <w:pPr>
        <w:spacing w:after="60" w:line="240" w:lineRule="auto"/>
      </w:pPr>
      <w:r>
        <w:t>Requirements: A02; R-01 to R-13; AT-01 to AT-16. Dependencies: PB01.</w:t>
      </w:r>
    </w:p>
    <w:p>
      <w:pPr>
        <w:spacing w:after="60" w:line="240" w:lineRule="auto"/>
      </w:pPr>
      <w:r>
        <w:rPr>
          <w:b/>
        </w:rPr>
        <w:t xml:space="preserve">Acceptance: </w:t>
      </w:r>
      <w:r>
        <w:t>Every AT has data, steps, expected results and evidence; current automation counts are distinguished from the older snapshot.</w:t>
      </w:r>
    </w:p>
    <w:p>
      <w:pPr>
        <w:spacing w:after="60" w:line="240" w:lineRule="auto"/>
      </w:pPr>
      <w:r>
        <w:t>Evidence: E3, E4, E5; approved versioned plan. Status: Plan available; alignment review.</w:t>
      </w:r>
    </w:p>
    <w:p>
      <w:pPr>
        <w:pStyle w:val="Heading2"/>
        <w:spacing w:after="80" w:line="240" w:lineRule="auto" w:before="140"/>
      </w:pPr>
      <w:r>
        <w:t>PB12 Version integration</w:t>
      </w:r>
    </w:p>
    <w:p>
      <w:pPr>
        <w:spacing w:after="60" w:line="240" w:lineRule="auto"/>
      </w:pPr>
      <w:r>
        <w:t>Integrate on the latest main baseline and keep version1 and frozen acceptance inputs intact.</w:t>
      </w:r>
    </w:p>
    <w:p>
      <w:pPr>
        <w:spacing w:after="60" w:line="240" w:lineRule="auto"/>
      </w:pPr>
      <w:r>
        <w:t>Priority: High. Estimate: 7. First owner: Songjie Qiu. Second owner: Chenyu Yang.</w:t>
      </w:r>
    </w:p>
    <w:p>
      <w:pPr>
        <w:spacing w:after="60" w:line="240" w:lineRule="auto"/>
      </w:pPr>
      <w:r>
        <w:t>Requirements: A01, A07; R-01, R-13. Dependencies: PB02, PB11, PB20.</w:t>
      </w:r>
    </w:p>
    <w:p>
      <w:pPr>
        <w:spacing w:after="60" w:line="240" w:lineRule="auto"/>
      </w:pPr>
      <w:r>
        <w:rPr>
          <w:b/>
        </w:rPr>
        <w:t xml:space="preserve">Acceptance: </w:t>
      </w:r>
      <w:r>
        <w:t>Commit, deployed definition, BPMN hash and evidence agree; no deleted legacy Postman collection is restored.</w:t>
      </w:r>
    </w:p>
    <w:p>
      <w:pPr>
        <w:spacing w:after="60" w:line="240" w:lineRule="auto"/>
      </w:pPr>
      <w:r>
        <w:t>Evidence: E1, E5, E7; release manifest. Status: Current integration recorded.</w:t>
      </w:r>
    </w:p>
    <w:p>
      <w:pPr>
        <w:pStyle w:val="Heading2"/>
        <w:spacing w:after="80" w:line="240" w:lineRule="auto" w:before="140"/>
      </w:pPr>
      <w:r>
        <w:t>PB13 Reports and communication preferences</w:t>
      </w:r>
    </w:p>
    <w:p>
      <w:pPr>
        <w:spacing w:after="60" w:line="240" w:lineRule="auto"/>
      </w:pPr>
      <w:r>
        <w:t>Define report metrics, data sources and communication needs without treating timestamp output as a delivered report.</w:t>
      </w:r>
    </w:p>
    <w:p>
      <w:pPr>
        <w:spacing w:after="60" w:line="240" w:lineRule="auto"/>
      </w:pPr>
      <w:r>
        <w:t>Priority: Medium. Estimate: 3. First owner: Chenyu Yang. Second owner: Songjie Qiu.</w:t>
      </w:r>
    </w:p>
    <w:p>
      <w:pPr>
        <w:spacing w:after="60" w:line="240" w:lineRule="auto"/>
      </w:pPr>
      <w:r>
        <w:t>Requirements: Case reporting and accessibility; trace to R-03, R-11, R-12. Dependencies: PB01, PB04, PB09.</w:t>
      </w:r>
    </w:p>
    <w:p>
      <w:pPr>
        <w:spacing w:after="60" w:line="240" w:lineRule="auto"/>
      </w:pPr>
      <w:r>
        <w:rPr>
          <w:b/>
        </w:rPr>
        <w:t xml:space="preserve">Acceptance: </w:t>
      </w:r>
      <w:r>
        <w:t>Reviewers can trace every metric and preference to stored data; missing coverage is recorded in the requirements crosswalk.</w:t>
      </w:r>
    </w:p>
    <w:p>
      <w:pPr>
        <w:spacing w:after="60" w:line="240" w:lineRule="auto"/>
      </w:pPr>
      <w:r>
        <w:t>Evidence: E2, E6; metric and field mapping. Status: Needs specification and evidence.</w:t>
      </w:r>
    </w:p>
    <w:p>
      <w:pPr>
        <w:pStyle w:val="Heading2"/>
        <w:spacing w:after="80" w:line="240" w:lineRule="auto" w:before="140"/>
      </w:pPr>
      <w:r>
        <w:t>PB14 Strategic BPMN</w:t>
      </w:r>
    </w:p>
    <w:p>
      <w:pPr>
        <w:spacing w:after="60" w:line="240" w:lineRule="auto"/>
      </w:pPr>
      <w:r>
        <w:t>Review the business-level model and its mapping to operational processes and external interactions.</w:t>
      </w:r>
    </w:p>
    <w:p>
      <w:pPr>
        <w:spacing w:after="60" w:line="240" w:lineRule="auto"/>
      </w:pPr>
      <w:r>
        <w:t>Priority: Medium. Estimate: 5. First owner: Cathleen Liu. Second owner: Xinran Zhang.</w:t>
      </w:r>
    </w:p>
    <w:p>
      <w:pPr>
        <w:spacing w:after="60" w:line="240" w:lineRule="auto"/>
      </w:pPr>
      <w:r>
        <w:t>Requirements: A04; R-01. Dependencies: PB02.</w:t>
      </w:r>
    </w:p>
    <w:p>
      <w:pPr>
        <w:spacing w:after="60" w:line="240" w:lineRule="auto"/>
      </w:pPr>
      <w:r>
        <w:rPr>
          <w:b/>
        </w:rPr>
        <w:t xml:space="preserve">Acceptance: </w:t>
      </w:r>
      <w:r>
        <w:t>A reviewed editable strategic BPMN and readable export map to version2; iStar is not substituted for this deliverable.</w:t>
      </w:r>
    </w:p>
    <w:p>
      <w:pPr>
        <w:spacing w:after="60" w:line="240" w:lineRule="auto"/>
      </w:pPr>
      <w:r>
        <w:t>Evidence: Strategic BPMN and mapping record required. Status: Needs deliverable review.</w:t>
      </w:r>
    </w:p>
    <w:p>
      <w:pPr>
        <w:pStyle w:val="Heading2"/>
        <w:spacing w:after="80" w:line="240" w:lineRule="auto" w:before="140"/>
      </w:pPr>
      <w:r>
        <w:t>PB15 Integrated iStar SD and SR</w:t>
      </w:r>
    </w:p>
    <w:p>
      <w:pPr>
        <w:spacing w:after="60" w:line="240" w:lineRule="auto"/>
      </w:pPr>
      <w:r>
        <w:t>Maintain the integrated model with 15 actors, 4 external actors, 86 intentional elements and 27 dependencies.</w:t>
      </w:r>
    </w:p>
    <w:p>
      <w:pPr>
        <w:spacing w:after="60" w:line="240" w:lineRule="auto"/>
      </w:pPr>
      <w:r>
        <w:t>Priority: Medium. Estimate: 7. First owner: Songjie Qiu. Second owner: Xinran Zhang.</w:t>
      </w:r>
    </w:p>
    <w:p>
      <w:pPr>
        <w:spacing w:after="60" w:line="240" w:lineRule="auto"/>
      </w:pPr>
      <w:r>
        <w:t>Requirements: A05; R-01. Dependencies: PB01, PB02.</w:t>
      </w:r>
    </w:p>
    <w:p>
      <w:pPr>
        <w:spacing w:after="60" w:line="240" w:lineRule="auto"/>
      </w:pPr>
      <w:r>
        <w:rPr>
          <w:b/>
        </w:rPr>
        <w:t xml:space="preserve">Acceptance: </w:t>
      </w:r>
      <w:r>
        <w:t>Native model checks pass; refresh source traceability for SP05 and retain the explicit strategic versus executable boundary difference.</w:t>
      </w:r>
    </w:p>
    <w:p>
      <w:pPr>
        <w:spacing w:after="60" w:line="240" w:lineRule="auto"/>
      </w:pPr>
      <w:r>
        <w:t>Evidence: E6; refreshed source-hash comparison. Status: Model available; trace review.</w:t>
      </w:r>
    </w:p>
    <w:p>
      <w:r>
        <w:br w:type="page"/>
      </w:r>
    </w:p>
    <w:p>
      <w:pPr>
        <w:pStyle w:val="Heading1"/>
      </w:pPr>
      <w:r>
        <w:t>Product backlog continued</w:t>
      </w:r>
    </w:p>
    <w:p>
      <w:pPr>
        <w:pStyle w:val="Heading2"/>
        <w:spacing w:after="80" w:line="240" w:lineRule="auto" w:before="140"/>
      </w:pPr>
      <w:r>
        <w:t>PB16 Requirements consistency assessment</w:t>
      </w:r>
    </w:p>
    <w:p>
      <w:pPr>
        <w:spacing w:after="60" w:line="240" w:lineRule="auto"/>
      </w:pPr>
      <w:r>
        <w:t>Classify support, partial support and missing support across requirements, BPMN and iStar.</w:t>
      </w:r>
    </w:p>
    <w:p>
      <w:pPr>
        <w:spacing w:after="60" w:line="240" w:lineRule="auto"/>
      </w:pPr>
      <w:r>
        <w:t>Priority: High. Estimate: 7. First owner: Xinran Zhang. Second owner: Chenyu Yang.</w:t>
      </w:r>
    </w:p>
    <w:p>
      <w:pPr>
        <w:spacing w:after="60" w:line="240" w:lineRule="auto"/>
      </w:pPr>
      <w:r>
        <w:t>Requirements: A06; R-01 to R-13. Dependencies: PB01, PB14, PB15.</w:t>
      </w:r>
    </w:p>
    <w:p>
      <w:pPr>
        <w:spacing w:after="60" w:line="240" w:lineRule="auto"/>
      </w:pPr>
      <w:r>
        <w:rPr>
          <w:b/>
        </w:rPr>
        <w:t xml:space="preserve">Acceptance: </w:t>
      </w:r>
      <w:r>
        <w:t>Each gap identifies an affected element, backlog action and test; strategic intent is not reported as executable enforcement.</w:t>
      </w:r>
    </w:p>
    <w:p>
      <w:pPr>
        <w:spacing w:after="60" w:line="240" w:lineRule="auto"/>
      </w:pPr>
      <w:r>
        <w:t>Evidence: E3, E4, E6; reviewed matrix. Status: Needs consolidated assessment.</w:t>
      </w:r>
    </w:p>
    <w:p>
      <w:pPr>
        <w:pStyle w:val="Heading2"/>
        <w:spacing w:after="80" w:line="240" w:lineRule="auto" w:before="140"/>
      </w:pPr>
      <w:r>
        <w:t>PB17 Acceptance execution and evaluation</w:t>
      </w:r>
    </w:p>
    <w:p>
      <w:pPr>
        <w:spacing w:after="60" w:line="240" w:lineRule="auto"/>
      </w:pPr>
      <w:r>
        <w:t>Retain the historical 86-test result and evaluate fixes on a separately identified current deployment.</w:t>
      </w:r>
    </w:p>
    <w:p>
      <w:pPr>
        <w:spacing w:after="60" w:line="240" w:lineRule="auto"/>
      </w:pPr>
      <w:r>
        <w:t>Priority: High. Estimate: 7. First owner: Songjie Qiu. Second owner: Cathleen Liu.</w:t>
      </w:r>
    </w:p>
    <w:p>
      <w:pPr>
        <w:spacing w:after="60" w:line="240" w:lineRule="auto"/>
      </w:pPr>
      <w:r>
        <w:t>Requirements: A07; AT-01 to AT-16. Dependencies: PB11, PB12.</w:t>
      </w:r>
    </w:p>
    <w:p>
      <w:pPr>
        <w:spacing w:after="60" w:line="240" w:lineRule="auto"/>
      </w:pPr>
      <w:r>
        <w:rPr>
          <w:b/>
        </w:rPr>
        <w:t xml:space="preserve">Acceptance: </w:t>
      </w:r>
      <w:r>
        <w:t>Report original and revised criteria separately; preserve failed assertions and never equate route coverage with acceptance.</w:t>
      </w:r>
    </w:p>
    <w:p>
      <w:pPr>
        <w:spacing w:after="60" w:line="240" w:lineRule="auto"/>
      </w:pPr>
      <w:r>
        <w:t>Evidence: E4, E5; current retest pack. Status: Historical failure; current scoped pass.</w:t>
      </w:r>
    </w:p>
    <w:p>
      <w:pPr>
        <w:pStyle w:val="Heading2"/>
        <w:spacing w:after="80" w:line="240" w:lineRule="auto" w:before="140"/>
      </w:pPr>
      <w:r>
        <w:t>PB18 Demonstration and decisions</w:t>
      </w:r>
    </w:p>
    <w:p>
      <w:pPr>
        <w:spacing w:after="60" w:line="240" w:lineRule="auto"/>
      </w:pPr>
      <w:r>
        <w:t>Demonstrate the SP05 request, boolean mapping, pending release and failure incident, then explain the evidence limits.</w:t>
      </w:r>
    </w:p>
    <w:p>
      <w:pPr>
        <w:spacing w:after="60" w:line="240" w:lineRule="auto"/>
      </w:pPr>
      <w:r>
        <w:t>Priority: Medium. Estimate: 3. First owner: Chenyu Yang. Second owner: Songjie Qiu.</w:t>
      </w:r>
    </w:p>
    <w:p>
      <w:pPr>
        <w:spacing w:after="60" w:line="240" w:lineRule="auto"/>
      </w:pPr>
      <w:r>
        <w:t>Requirements: A03; A01, A02. Dependencies: PB11, PB12.</w:t>
      </w:r>
    </w:p>
    <w:p>
      <w:pPr>
        <w:spacing w:after="60" w:line="240" w:lineRule="auto"/>
      </w:pPr>
      <w:r>
        <w:rPr>
          <w:b/>
        </w:rPr>
        <w:t xml:space="preserve">Acceptance: </w:t>
      </w:r>
      <w:r>
        <w:t>Reviewers can trace the request to the instance; slides disclose simulation, role and coverage boundaries.</w:t>
      </w:r>
    </w:p>
    <w:p>
      <w:pPr>
        <w:spacing w:after="60" w:line="240" w:lineRule="auto"/>
      </w:pPr>
      <w:r>
        <w:t>Evidence: E5, E7; presentation and decision record. Status: Technical evidence available; review pending.</w:t>
      </w:r>
    </w:p>
    <w:p>
      <w:pPr>
        <w:pStyle w:val="Heading2"/>
        <w:spacing w:after="80" w:line="240" w:lineRule="auto" w:before="140"/>
      </w:pPr>
      <w:r>
        <w:t>PB19 Agile records and handovers</w:t>
      </w:r>
    </w:p>
    <w:p>
      <w:pPr>
        <w:spacing w:after="60" w:line="240" w:lineRule="auto"/>
      </w:pPr>
      <w:r>
        <w:t>Maintain standups, sprint reviews, decisions, feedback and contribution evidence for each member.</w:t>
      </w:r>
    </w:p>
    <w:p>
      <w:pPr>
        <w:spacing w:after="60" w:line="240" w:lineRule="auto"/>
      </w:pPr>
      <w:r>
        <w:t>Priority: High. Estimate: 7. First owner: Xinran Zhang. Second owner: Songjie Qiu.</w:t>
      </w:r>
    </w:p>
    <w:p>
      <w:pPr>
        <w:spacing w:after="60" w:line="240" w:lineRule="auto"/>
      </w:pPr>
      <w:r>
        <w:t>Requirements: A08. Dependencies: PB01.</w:t>
      </w:r>
    </w:p>
    <w:p>
      <w:pPr>
        <w:spacing w:after="60" w:line="240" w:lineRule="auto"/>
      </w:pPr>
      <w:r>
        <w:rPr>
          <w:b/>
        </w:rPr>
        <w:t xml:space="preserve">Acceptance: </w:t>
      </w:r>
      <w:r>
        <w:t>Each completion claim links to dated work and reviewer confirmation; record actual blockers and handovers.</w:t>
      </w:r>
    </w:p>
    <w:p>
      <w:pPr>
        <w:spacing w:after="60" w:line="240" w:lineRule="auto"/>
      </w:pPr>
      <w:r>
        <w:t>Evidence: Team meeting and contribution records required. Status: Ongoing; individual updates pending.</w:t>
      </w:r>
    </w:p>
    <w:p>
      <w:pPr>
        <w:pStyle w:val="Heading2"/>
        <w:spacing w:after="80" w:line="240" w:lineRule="auto" w:before="140"/>
      </w:pPr>
      <w:r>
        <w:t>PB20 SP05 external availability and recovery</w:t>
      </w:r>
    </w:p>
    <w:p>
      <w:pPr>
        <w:spacing w:after="60" w:line="240" w:lineRule="auto"/>
      </w:pPr>
      <w:r>
        <w:t>Use GET /availability through io.camunda:http-json:1 with referralId and treatmentPlanId; retain asynchronous resource release.</w:t>
      </w:r>
    </w:p>
    <w:p>
      <w:pPr>
        <w:spacing w:after="60" w:line="240" w:lineRule="auto"/>
      </w:pPr>
      <w:r>
        <w:t>Priority: High. Estimate: 7. First owner: Songjie Qiu. Second owner: Cathleen Liu.</w:t>
      </w:r>
    </w:p>
    <w:p>
      <w:pPr>
        <w:spacing w:after="60" w:line="240" w:lineRule="auto"/>
      </w:pPr>
      <w:r>
        <w:t>Requirements: R-05, R-13; BR-04; AT-07, AT-16. Dependencies: PB01, PB02.</w:t>
      </w:r>
    </w:p>
    <w:p>
      <w:pPr>
        <w:spacing w:after="60" w:line="240" w:lineRule="auto"/>
      </w:pPr>
      <w:r>
        <w:rPr>
          <w:b/>
        </w:rPr>
        <w:t xml:space="preserve">Acceptance: </w:t>
      </w:r>
      <w:r>
        <w:t>true books, false waits, exhausted 503 retries create an incident without booking; boolean validation and retry recovery are evidenced.</w:t>
      </w:r>
    </w:p>
    <w:p>
      <w:pPr>
        <w:spacing w:after="60" w:line="240" w:lineRule="auto"/>
      </w:pPr>
      <w:r>
        <w:t>Evidence: E5, E7; request logs and current-instance traces. Status: Implemented; local scoped evidence.</w:t>
      </w:r>
    </w:p>
    <w:p>
      <w:r>
        <w:br w:type="page"/>
      </w:r>
    </w:p>
    <w:p>
      <w:pPr>
        <w:pStyle w:val="Heading1"/>
      </w:pPr>
      <w:r>
        <w:t>Part 4 Break work into project tasks</w:t>
      </w:r>
    </w:p>
    <w:p>
      <w:r>
        <w:t>Each task inherits the related requirement and full acceptance conditions of its PB item. The check below defines its concrete review output. First and second owners appear in that order; estimates retain the source workshop's planning units.</w:t>
      </w:r>
    </w:p>
    <w:tbl>
      <w:tblPr>
        <w:tblW w:type="auto" w:w="0"/>
        <w:jc w:val="center"/>
        <w:tblLayout w:type="fixed"/>
        <w:tblLook w:firstColumn="1" w:firstRow="1" w:lastColumn="0" w:lastRow="0" w:noHBand="0" w:noVBand="1" w:val="04A0"/>
      </w:tblPr>
      <w:tblGrid>
        <w:gridCol w:w="720"/>
        <w:gridCol w:w="4680"/>
        <w:gridCol w:w="1944"/>
        <w:gridCol w:w="1224"/>
        <w:gridCol w:w="1656"/>
      </w:tblGrid>
      <w:tr>
        <w:trPr>
          <w:cantSplit/>
          <w:tblHeader/>
        </w:trPr>
        <w:tc>
          <w:tcPr>
            <w:tcW w:type="dxa" w:w="7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EF4"/>
          </w:tcPr>
          <w:p>
            <w:pPr>
              <w:spacing w:after="40" w:before="40" w:line="245" w:lineRule="auto"/>
            </w:pPr>
            <w:r>
              <w:rPr>
                <w:b/>
                <w:sz w:val="19"/>
              </w:rPr>
              <w:t>Task</w:t>
            </w:r>
          </w:p>
        </w:tc>
        <w:tc>
          <w:tcPr>
            <w:tcW w:type="dxa" w:w="46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EF4"/>
          </w:tcPr>
          <w:p>
            <w:pPr>
              <w:spacing w:after="40" w:before="40" w:line="245" w:lineRule="auto"/>
            </w:pPr>
            <w:r>
              <w:rPr>
                <w:b/>
                <w:sz w:val="19"/>
              </w:rPr>
              <w:t>Work and acceptance evidence</w:t>
            </w:r>
          </w:p>
        </w:tc>
        <w:tc>
          <w:tcPr>
            <w:tcW w:type="dxa" w:w="19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EF4"/>
          </w:tcPr>
          <w:p>
            <w:pPr>
              <w:spacing w:after="40" w:before="40" w:line="245" w:lineRule="auto"/>
            </w:pPr>
            <w:r>
              <w:rPr>
                <w:b/>
                <w:sz w:val="19"/>
              </w:rPr>
              <w:t>Owners and estimate</w:t>
            </w:r>
          </w:p>
        </w:tc>
        <w:tc>
          <w:tcPr>
            <w:tcW w:type="dxa" w:w="12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EF4"/>
          </w:tcPr>
          <w:p>
            <w:pPr>
              <w:spacing w:after="40" w:before="40" w:line="245" w:lineRule="auto"/>
            </w:pPr>
            <w:r>
              <w:rPr>
                <w:b/>
                <w:sz w:val="19"/>
              </w:rPr>
              <w:t>Depends on</w:t>
            </w:r>
          </w:p>
        </w:tc>
        <w:tc>
          <w:tcPr>
            <w:tcW w:type="dxa" w:w="16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EF4"/>
          </w:tcPr>
          <w:p>
            <w:pPr>
              <w:spacing w:after="40" w:before="40" w:line="245" w:lineRule="auto"/>
            </w:pPr>
            <w:r>
              <w:rPr>
                <w:b/>
                <w:sz w:val="19"/>
              </w:rPr>
              <w:t>Evidence status</w:t>
            </w:r>
          </w:p>
        </w:tc>
      </w:tr>
      <w:tr>
        <w:trPr>
          <w:cantSplit/>
        </w:trPr>
        <w:tc>
          <w:tcPr>
            <w:tcW w:type="dxa" w:w="7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T01</w:t>
              <w:br/>
              <w:t>PB01</w:t>
            </w:r>
          </w:p>
        </w:tc>
        <w:tc>
          <w:tcPr>
            <w:tcW w:type="dxa" w:w="46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Reconcile requirement identifiers</w:t>
              <w:br/>
              <w:t>Map R-01 to R-13 and retain unmapped case needs. E3.</w:t>
            </w:r>
          </w:p>
        </w:tc>
        <w:tc>
          <w:tcPr>
            <w:tcW w:type="dxa" w:w="19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Xinran Zhang</w:t>
              <w:br/>
              <w:t>Cathleen Liu</w:t>
              <w:br/>
              <w:t>Estimate 3</w:t>
            </w:r>
          </w:p>
        </w:tc>
        <w:tc>
          <w:tcPr>
            <w:tcW w:type="dxa" w:w="12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None</w:t>
            </w:r>
          </w:p>
        </w:tc>
        <w:tc>
          <w:tcPr>
            <w:tcW w:type="dxa" w:w="16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Review</w:t>
            </w:r>
          </w:p>
        </w:tc>
      </w:tr>
      <w:tr>
        <w:trPr>
          <w:cantSplit/>
        </w:trPr>
        <w:tc>
          <w:tcPr>
            <w:tcW w:type="dxa" w:w="7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T02</w:t>
              <w:br/>
              <w:t>PB01</w:t>
            </w:r>
          </w:p>
        </w:tc>
        <w:tc>
          <w:tcPr>
            <w:tcW w:type="dxa" w:w="46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Record rules and scope assumptions</w:t>
              <w:br/>
              <w:t>Map BR-01 to BR-11; record strategy/BPMN boundary differences. E3, E6.</w:t>
            </w:r>
          </w:p>
        </w:tc>
        <w:tc>
          <w:tcPr>
            <w:tcW w:type="dxa" w:w="19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Xinran Zhang</w:t>
              <w:br/>
              <w:t>Cathleen Liu</w:t>
              <w:br/>
              <w:t>Estimate 3</w:t>
            </w:r>
          </w:p>
        </w:tc>
        <w:tc>
          <w:tcPr>
            <w:tcW w:type="dxa" w:w="12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T01</w:t>
            </w:r>
          </w:p>
        </w:tc>
        <w:tc>
          <w:tcPr>
            <w:tcW w:type="dxa" w:w="16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Review</w:t>
            </w:r>
          </w:p>
        </w:tc>
      </w:tr>
      <w:tr>
        <w:trPr>
          <w:cantSplit/>
        </w:trPr>
        <w:tc>
          <w:tcPr>
            <w:tcW w:type="dxa" w:w="7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T03</w:t>
              <w:br/>
              <w:t>PB02</w:t>
            </w:r>
          </w:p>
        </w:tc>
        <w:tc>
          <w:tcPr>
            <w:tcW w:type="dxa" w:w="46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Maintain current process and lanes</w:t>
              <w:br/>
              <w:t>Verify one executable root, nine event subprocesses and resource counts. E1.</w:t>
            </w:r>
          </w:p>
        </w:tc>
        <w:tc>
          <w:tcPr>
            <w:tcW w:type="dxa" w:w="19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Cathleen Liu</w:t>
              <w:br/>
              <w:t>Xinran Zhang</w:t>
              <w:br/>
              <w:t>Estimate 5</w:t>
            </w:r>
          </w:p>
        </w:tc>
        <w:tc>
          <w:tcPr>
            <w:tcW w:type="dxa" w:w="12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T01, T02</w:t>
            </w:r>
          </w:p>
        </w:tc>
        <w:tc>
          <w:tcPr>
            <w:tcW w:type="dxa" w:w="16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Implemented</w:t>
            </w:r>
          </w:p>
        </w:tc>
      </w:tr>
      <w:tr>
        <w:trPr>
          <w:cantSplit/>
        </w:trPr>
        <w:tc>
          <w:tcPr>
            <w:tcW w:type="dxa" w:w="7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T04</w:t>
              <w:br/>
              <w:t>PB03</w:t>
            </w:r>
          </w:p>
        </w:tc>
        <w:tc>
          <w:tcPr>
            <w:tcW w:type="dxa" w:w="46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Verify referral decisions and correlation</w:t>
              <w:br/>
              <w:t>Test missing-data isolation and no treatment after rejection. E4.</w:t>
            </w:r>
          </w:p>
        </w:tc>
        <w:tc>
          <w:tcPr>
            <w:tcW w:type="dxa" w:w="19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Xinran Zhang</w:t>
              <w:br/>
              <w:t>Chenyu Yang</w:t>
              <w:br/>
              <w:t>Estimate 5</w:t>
            </w:r>
          </w:p>
        </w:tc>
        <w:tc>
          <w:tcPr>
            <w:tcW w:type="dxa" w:w="12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T03</w:t>
            </w:r>
          </w:p>
        </w:tc>
        <w:tc>
          <w:tcPr>
            <w:tcW w:type="dxa" w:w="16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Scoped evidence</w:t>
            </w:r>
          </w:p>
        </w:tc>
      </w:tr>
      <w:tr>
        <w:trPr>
          <w:cantSplit/>
        </w:trPr>
        <w:tc>
          <w:tcPr>
            <w:tcW w:type="dxa" w:w="7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T05</w:t>
              <w:br/>
              <w:t>PB04</w:t>
            </w:r>
          </w:p>
        </w:tc>
        <w:tc>
          <w:tcPr>
            <w:tcW w:type="dxa" w:w="46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Implement date and contact guards</w:t>
              <w:br/>
              <w:t>Use requested dates and the 14-day rule, not only booleans. New AT-05 tests.</w:t>
            </w:r>
          </w:p>
        </w:tc>
        <w:tc>
          <w:tcPr>
            <w:tcW w:type="dxa" w:w="19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Cathleen Liu</w:t>
              <w:br/>
              <w:t>Chenyu Yang</w:t>
              <w:br/>
              <w:t>Estimate 5</w:t>
            </w:r>
          </w:p>
        </w:tc>
        <w:tc>
          <w:tcPr>
            <w:tcW w:type="dxa" w:w="12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T04</w:t>
            </w:r>
          </w:p>
        </w:tc>
        <w:tc>
          <w:tcPr>
            <w:tcW w:type="dxa" w:w="16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Open gaps</w:t>
            </w:r>
          </w:p>
        </w:tc>
      </w:tr>
      <w:tr>
        <w:trPr>
          <w:cantSplit/>
        </w:trPr>
        <w:tc>
          <w:tcPr>
            <w:tcW w:type="dxa" w:w="7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T06</w:t>
              <w:br/>
              <w:t>PB04</w:t>
            </w:r>
          </w:p>
        </w:tc>
        <w:tc>
          <w:tcPr>
            <w:tcW w:type="dxa" w:w="46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Verify changes and cancellation</w:t>
              <w:br/>
              <w:t>Reject unverified/late changes; retain cancellation outcomes. AT-11, AT-12.</w:t>
            </w:r>
          </w:p>
        </w:tc>
        <w:tc>
          <w:tcPr>
            <w:tcW w:type="dxa" w:w="19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Cathleen Liu</w:t>
              <w:br/>
              <w:t>Chenyu Yang</w:t>
              <w:br/>
              <w:t>Estimate 3</w:t>
            </w:r>
          </w:p>
        </w:tc>
        <w:tc>
          <w:tcPr>
            <w:tcW w:type="dxa" w:w="12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T05</w:t>
            </w:r>
          </w:p>
        </w:tc>
        <w:tc>
          <w:tcPr>
            <w:tcW w:type="dxa" w:w="16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Partial</w:t>
            </w:r>
          </w:p>
        </w:tc>
      </w:tr>
      <w:tr>
        <w:trPr>
          <w:cantSplit/>
        </w:trPr>
        <w:tc>
          <w:tcPr>
            <w:tcW w:type="dxa" w:w="7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T07</w:t>
              <w:br/>
              <w:t>PB05</w:t>
            </w:r>
          </w:p>
        </w:tc>
        <w:tc>
          <w:tcPr>
            <w:tcW w:type="dxa" w:w="46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Verify consent and request forms</w:t>
              <w:br/>
              <w:t>Refusal blocks treatment; all required authorisation fields validated. E2, E5.</w:t>
            </w:r>
          </w:p>
        </w:tc>
        <w:tc>
          <w:tcPr>
            <w:tcW w:type="dxa" w:w="19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Xinran Zhang</w:t>
              <w:br/>
              <w:t>Songjie Qiu</w:t>
              <w:br/>
              <w:t>Estimate 3</w:t>
            </w:r>
          </w:p>
        </w:tc>
        <w:tc>
          <w:tcPr>
            <w:tcW w:type="dxa" w:w="12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T03</w:t>
            </w:r>
          </w:p>
        </w:tc>
        <w:tc>
          <w:tcPr>
            <w:tcW w:type="dxa" w:w="16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Scoped evidence</w:t>
            </w:r>
          </w:p>
        </w:tc>
      </w:tr>
      <w:tr>
        <w:trPr>
          <w:cantSplit/>
        </w:trPr>
        <w:tc>
          <w:tcPr>
            <w:tcW w:type="dxa" w:w="7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T08</w:t>
              <w:br/>
              <w:t>PB06</w:t>
            </w:r>
          </w:p>
        </w:tc>
        <w:tc>
          <w:tcPr>
            <w:tcW w:type="dxa" w:w="46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Complete funding and payment guards</w:t>
              <w:br/>
              <w:t>Funding refusal blocks progress; prior charge prevents another charge. AT-07, AT-08.</w:t>
            </w:r>
          </w:p>
        </w:tc>
        <w:tc>
          <w:tcPr>
            <w:tcW w:type="dxa" w:w="19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Cathleen Liu</w:t>
              <w:br/>
              <w:t>Xinran Zhang</w:t>
              <w:br/>
              <w:t>Estimate 7</w:t>
            </w:r>
          </w:p>
        </w:tc>
        <w:tc>
          <w:tcPr>
            <w:tcW w:type="dxa" w:w="12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T07</w:t>
            </w:r>
          </w:p>
        </w:tc>
        <w:tc>
          <w:tcPr>
            <w:tcW w:type="dxa" w:w="16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Open gaps</w:t>
            </w:r>
          </w:p>
        </w:tc>
      </w:tr>
      <w:tr>
        <w:trPr>
          <w:cantSplit/>
        </w:trPr>
        <w:tc>
          <w:tcPr>
            <w:tcW w:type="dxa" w:w="7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T09</w:t>
              <w:br/>
              <w:t>PB06</w:t>
            </w:r>
          </w:p>
        </w:tc>
        <w:tc>
          <w:tcPr>
            <w:tcW w:type="dxa" w:w="46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Enforce refund and transfer rules</w:t>
              <w:br/>
              <w:t>Explicitly reject unauthorised refunds; isolate transfers. AT-13.</w:t>
            </w:r>
          </w:p>
        </w:tc>
        <w:tc>
          <w:tcPr>
            <w:tcW w:type="dxa" w:w="19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Cathleen Liu</w:t>
              <w:br/>
              <w:t>Xinran Zhang</w:t>
              <w:br/>
              <w:t>Estimate 3</w:t>
            </w:r>
          </w:p>
        </w:tc>
        <w:tc>
          <w:tcPr>
            <w:tcW w:type="dxa" w:w="12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T08</w:t>
            </w:r>
          </w:p>
        </w:tc>
        <w:tc>
          <w:tcPr>
            <w:tcW w:type="dxa" w:w="16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Open gaps</w:t>
            </w:r>
          </w:p>
        </w:tc>
      </w:tr>
    </w:tbl>
    <w:p>
      <w:pPr>
        <w:spacing w:after="0"/>
      </w:pPr>
    </w:p>
    <w:p>
      <w:r>
        <w:br w:type="page"/>
      </w:r>
    </w:p>
    <w:p>
      <w:pPr>
        <w:pStyle w:val="Heading1"/>
      </w:pPr>
      <w:r>
        <w:t>Project tasks continued</w:t>
      </w:r>
    </w:p>
    <w:p>
      <w:r>
        <w:t>Each task inherits the related requirement and full acceptance conditions of its PB item. The check below defines its concrete review output. First and second owners appear in that order; estimates retain the source workshop's planning units.</w:t>
      </w:r>
    </w:p>
    <w:tbl>
      <w:tblPr>
        <w:tblW w:type="auto" w:w="0"/>
        <w:jc w:val="center"/>
        <w:tblLayout w:type="fixed"/>
        <w:tblLook w:firstColumn="1" w:firstRow="1" w:lastColumn="0" w:lastRow="0" w:noHBand="0" w:noVBand="1" w:val="04A0"/>
      </w:tblPr>
      <w:tblGrid>
        <w:gridCol w:w="720"/>
        <w:gridCol w:w="4680"/>
        <w:gridCol w:w="1944"/>
        <w:gridCol w:w="1224"/>
        <w:gridCol w:w="1656"/>
      </w:tblGrid>
      <w:tr>
        <w:trPr>
          <w:cantSplit/>
          <w:tblHeader/>
        </w:trPr>
        <w:tc>
          <w:tcPr>
            <w:tcW w:type="dxa" w:w="7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EF4"/>
          </w:tcPr>
          <w:p>
            <w:pPr>
              <w:spacing w:after="40" w:before="40" w:line="245" w:lineRule="auto"/>
            </w:pPr>
            <w:r>
              <w:rPr>
                <w:b/>
                <w:sz w:val="19"/>
              </w:rPr>
              <w:t>Task</w:t>
            </w:r>
          </w:p>
        </w:tc>
        <w:tc>
          <w:tcPr>
            <w:tcW w:type="dxa" w:w="46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EF4"/>
          </w:tcPr>
          <w:p>
            <w:pPr>
              <w:spacing w:after="40" w:before="40" w:line="245" w:lineRule="auto"/>
            </w:pPr>
            <w:r>
              <w:rPr>
                <w:b/>
                <w:sz w:val="19"/>
              </w:rPr>
              <w:t>Work and acceptance evidence</w:t>
            </w:r>
          </w:p>
        </w:tc>
        <w:tc>
          <w:tcPr>
            <w:tcW w:type="dxa" w:w="19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EF4"/>
          </w:tcPr>
          <w:p>
            <w:pPr>
              <w:spacing w:after="40" w:before="40" w:line="245" w:lineRule="auto"/>
            </w:pPr>
            <w:r>
              <w:rPr>
                <w:b/>
                <w:sz w:val="19"/>
              </w:rPr>
              <w:t>Owners and estimate</w:t>
            </w:r>
          </w:p>
        </w:tc>
        <w:tc>
          <w:tcPr>
            <w:tcW w:type="dxa" w:w="12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EF4"/>
          </w:tcPr>
          <w:p>
            <w:pPr>
              <w:spacing w:after="40" w:before="40" w:line="245" w:lineRule="auto"/>
            </w:pPr>
            <w:r>
              <w:rPr>
                <w:b/>
                <w:sz w:val="19"/>
              </w:rPr>
              <w:t>Depends on</w:t>
            </w:r>
          </w:p>
        </w:tc>
        <w:tc>
          <w:tcPr>
            <w:tcW w:type="dxa" w:w="16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EF4"/>
          </w:tcPr>
          <w:p>
            <w:pPr>
              <w:spacing w:after="40" w:before="40" w:line="245" w:lineRule="auto"/>
            </w:pPr>
            <w:r>
              <w:rPr>
                <w:b/>
                <w:sz w:val="19"/>
              </w:rPr>
              <w:t>Evidence status</w:t>
            </w:r>
          </w:p>
        </w:tc>
      </w:tr>
      <w:tr>
        <w:trPr>
          <w:cantSplit/>
        </w:trPr>
        <w:tc>
          <w:tcPr>
            <w:tcW w:type="dxa" w:w="7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T10</w:t>
              <w:br/>
              <w:t>PB07</w:t>
            </w:r>
          </w:p>
        </w:tc>
        <w:tc>
          <w:tcPr>
            <w:tcW w:type="dxa" w:w="46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Repair stop and change ordering</w:t>
              <w:br/>
              <w:t>Stop wins; cost review precedes implementation. AT-09, AT-10.</w:t>
            </w:r>
          </w:p>
        </w:tc>
        <w:tc>
          <w:tcPr>
            <w:tcW w:type="dxa" w:w="19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Xinran Zhang</w:t>
              <w:br/>
              <w:t>Cathleen Liu</w:t>
              <w:br/>
              <w:t>Estimate 5</w:t>
            </w:r>
          </w:p>
        </w:tc>
        <w:tc>
          <w:tcPr>
            <w:tcW w:type="dxa" w:w="12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T07, T08</w:t>
            </w:r>
          </w:p>
        </w:tc>
        <w:tc>
          <w:tcPr>
            <w:tcW w:type="dxa" w:w="16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Open gaps</w:t>
            </w:r>
          </w:p>
        </w:tc>
      </w:tr>
      <w:tr>
        <w:trPr>
          <w:cantSplit/>
        </w:trPr>
        <w:tc>
          <w:tcPr>
            <w:tcW w:type="dxa" w:w="7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T11</w:t>
              <w:br/>
              <w:t>PB08</w:t>
            </w:r>
          </w:p>
        </w:tc>
        <w:tc>
          <w:tcPr>
            <w:tcW w:type="dxa" w:w="46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Repair letter reminders and isolation</w:t>
              <w:br/>
              <w:t>Repeat weekly only while unfinished; isolate two letters. E4, E5.</w:t>
            </w:r>
          </w:p>
        </w:tc>
        <w:tc>
          <w:tcPr>
            <w:tcW w:type="dxa" w:w="19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Chenyu Yang</w:t>
              <w:br/>
              <w:t>Xinran Zhang</w:t>
              <w:br/>
              <w:t>Estimate 3</w:t>
            </w:r>
          </w:p>
        </w:tc>
        <w:tc>
          <w:tcPr>
            <w:tcW w:type="dxa" w:w="12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T03</w:t>
            </w:r>
          </w:p>
        </w:tc>
        <w:tc>
          <w:tcPr>
            <w:tcW w:type="dxa" w:w="16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Partial</w:t>
            </w:r>
          </w:p>
        </w:tc>
      </w:tr>
      <w:tr>
        <w:trPr>
          <w:cantSplit/>
        </w:trPr>
        <w:tc>
          <w:tcPr>
            <w:tcW w:type="dxa" w:w="7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T12</w:t>
              <w:br/>
              <w:t>PB09</w:t>
            </w:r>
          </w:p>
        </w:tc>
        <w:tc>
          <w:tcPr>
            <w:tcW w:type="dxa" w:w="46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Verify enquiry routing and closure</w:t>
              <w:br/>
              <w:t>Assert responsible team and outcome by category. AT-14.</w:t>
            </w:r>
          </w:p>
        </w:tc>
        <w:tc>
          <w:tcPr>
            <w:tcW w:type="dxa" w:w="19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Chenyu Yang</w:t>
              <w:br/>
              <w:t>Songjie Qiu</w:t>
              <w:br/>
              <w:t>Estimate 3</w:t>
            </w:r>
          </w:p>
        </w:tc>
        <w:tc>
          <w:tcPr>
            <w:tcW w:type="dxa" w:w="12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T03</w:t>
            </w:r>
          </w:p>
        </w:tc>
        <w:tc>
          <w:tcPr>
            <w:tcW w:type="dxa" w:w="16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Scoped evidence</w:t>
            </w:r>
          </w:p>
        </w:tc>
      </w:tr>
      <w:tr>
        <w:trPr>
          <w:cantSplit/>
        </w:trPr>
        <w:tc>
          <w:tcPr>
            <w:tcW w:type="dxa" w:w="7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T13</w:t>
              <w:br/>
              <w:t>PB10</w:t>
            </w:r>
          </w:p>
        </w:tc>
        <w:tc>
          <w:tcPr>
            <w:tcW w:type="dxa" w:w="46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Verify permissions audit and restoration</w:t>
              <w:br/>
              <w:t>Test roles and matching incidentReference; distinguish Connector audit. E4, E7.</w:t>
            </w:r>
          </w:p>
        </w:tc>
        <w:tc>
          <w:tcPr>
            <w:tcW w:type="dxa" w:w="19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Cathleen Liu</w:t>
              <w:br/>
              <w:t>Songjie Qiu</w:t>
              <w:br/>
              <w:t>Estimate 3</w:t>
            </w:r>
          </w:p>
        </w:tc>
        <w:tc>
          <w:tcPr>
            <w:tcW w:type="dxa" w:w="12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T02, T03</w:t>
            </w:r>
          </w:p>
        </w:tc>
        <w:tc>
          <w:tcPr>
            <w:tcW w:type="dxa" w:w="16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Partial</w:t>
            </w:r>
          </w:p>
        </w:tc>
      </w:tr>
      <w:tr>
        <w:trPr>
          <w:cantSplit/>
        </w:trPr>
        <w:tc>
          <w:tcPr>
            <w:tcW w:type="dxa" w:w="7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T14</w:t>
              <w:br/>
              <w:t>PB11</w:t>
            </w:r>
          </w:p>
        </w:tc>
        <w:tc>
          <w:tcPr>
            <w:tcW w:type="dxa" w:w="46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Review current acceptance plan</w:t>
              <w:br/>
              <w:t>Complete all AT-01 to AT-16 criteria and baseline labels. E3.</w:t>
            </w:r>
          </w:p>
        </w:tc>
        <w:tc>
          <w:tcPr>
            <w:tcW w:type="dxa" w:w="19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Songjie Qiu</w:t>
              <w:br/>
              <w:t>Cathleen Liu</w:t>
              <w:br/>
              <w:t>Estimate 7</w:t>
            </w:r>
          </w:p>
        </w:tc>
        <w:tc>
          <w:tcPr>
            <w:tcW w:type="dxa" w:w="12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T04, T07, T12, T27</w:t>
            </w:r>
          </w:p>
        </w:tc>
        <w:tc>
          <w:tcPr>
            <w:tcW w:type="dxa" w:w="16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Plan available</w:t>
            </w:r>
          </w:p>
        </w:tc>
      </w:tr>
      <w:tr>
        <w:trPr>
          <w:cantSplit/>
        </w:trPr>
        <w:tc>
          <w:tcPr>
            <w:tcW w:type="dxa" w:w="7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T15</w:t>
              <w:br/>
              <w:t>PB12</w:t>
            </w:r>
          </w:p>
        </w:tc>
        <w:tc>
          <w:tcPr>
            <w:tcW w:type="dxa" w:w="46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Identify integrated baseline</w:t>
              <w:br/>
              <w:t>Retain commit, BPMN hash and deployment evidence; list known failures. E1, E4.</w:t>
            </w:r>
          </w:p>
        </w:tc>
        <w:tc>
          <w:tcPr>
            <w:tcW w:type="dxa" w:w="19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Songjie Qiu</w:t>
              <w:br/>
              <w:t>Chenyu Yang</w:t>
              <w:br/>
              <w:t>Estimate 3</w:t>
            </w:r>
          </w:p>
        </w:tc>
        <w:tc>
          <w:tcPr>
            <w:tcW w:type="dxa" w:w="12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T14</w:t>
            </w:r>
          </w:p>
        </w:tc>
        <w:tc>
          <w:tcPr>
            <w:tcW w:type="dxa" w:w="16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Recorded</w:t>
            </w:r>
          </w:p>
        </w:tc>
      </w:tr>
      <w:tr>
        <w:trPr>
          <w:cantSplit/>
        </w:trPr>
        <w:tc>
          <w:tcPr>
            <w:tcW w:type="dxa" w:w="7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T16</w:t>
              <w:br/>
              <w:t>PB12</w:t>
            </w:r>
          </w:p>
        </w:tc>
        <w:tc>
          <w:tcPr>
            <w:tcW w:type="dxa" w:w="46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Integrate approved version2 fixes</w:t>
              <w:br/>
              <w:t>Apply approved changes; preserve version1 and old results. E7 and change log.</w:t>
            </w:r>
          </w:p>
        </w:tc>
        <w:tc>
          <w:tcPr>
            <w:tcW w:type="dxa" w:w="19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Songjie Qiu</w:t>
              <w:br/>
              <w:t>Chenyu Yang</w:t>
              <w:br/>
              <w:t>Estimate 5</w:t>
            </w:r>
          </w:p>
        </w:tc>
        <w:tc>
          <w:tcPr>
            <w:tcW w:type="dxa" w:w="12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T21, T23, T27</w:t>
            </w:r>
          </w:p>
        </w:tc>
        <w:tc>
          <w:tcPr>
            <w:tcW w:type="dxa" w:w="16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Partial</w:t>
            </w:r>
          </w:p>
        </w:tc>
      </w:tr>
      <w:tr>
        <w:trPr>
          <w:cantSplit/>
        </w:trPr>
        <w:tc>
          <w:tcPr>
            <w:tcW w:type="dxa" w:w="7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T17</w:t>
              <w:br/>
              <w:t>PB13</w:t>
            </w:r>
          </w:p>
        </w:tc>
        <w:tc>
          <w:tcPr>
            <w:tcW w:type="dxa" w:w="46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Specify reports and communication needs</w:t>
              <w:br/>
              <w:t>Link real metric sources and preference fields to requirements. PB13 mapping.</w:t>
            </w:r>
          </w:p>
        </w:tc>
        <w:tc>
          <w:tcPr>
            <w:tcW w:type="dxa" w:w="19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Chenyu Yang</w:t>
              <w:br/>
              <w:t>Songjie Qiu</w:t>
              <w:br/>
              <w:t>Estimate 3</w:t>
            </w:r>
          </w:p>
        </w:tc>
        <w:tc>
          <w:tcPr>
            <w:tcW w:type="dxa" w:w="12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T02, T05, T12</w:t>
            </w:r>
          </w:p>
        </w:tc>
        <w:tc>
          <w:tcPr>
            <w:tcW w:type="dxa" w:w="16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Needs evidence</w:t>
            </w:r>
          </w:p>
        </w:tc>
      </w:tr>
      <w:tr>
        <w:trPr>
          <w:cantSplit/>
        </w:trPr>
        <w:tc>
          <w:tcPr>
            <w:tcW w:type="dxa" w:w="7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T18</w:t>
              <w:br/>
              <w:t>PB14</w:t>
            </w:r>
          </w:p>
        </w:tc>
        <w:tc>
          <w:tcPr>
            <w:tcW w:type="dxa" w:w="46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Review strategic BPMN deliverable</w:t>
              <w:br/>
              <w:t>Provide editable source and reviewed operational mapping. PB14 evidence.</w:t>
            </w:r>
          </w:p>
        </w:tc>
        <w:tc>
          <w:tcPr>
            <w:tcW w:type="dxa" w:w="19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Cathleen Liu</w:t>
              <w:br/>
              <w:t>Xinran Zhang</w:t>
              <w:br/>
              <w:t>Estimate 5</w:t>
            </w:r>
          </w:p>
        </w:tc>
        <w:tc>
          <w:tcPr>
            <w:tcW w:type="dxa" w:w="12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T15</w:t>
            </w:r>
          </w:p>
        </w:tc>
        <w:tc>
          <w:tcPr>
            <w:tcW w:type="dxa" w:w="16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Needs review</w:t>
            </w:r>
          </w:p>
        </w:tc>
      </w:tr>
    </w:tbl>
    <w:p>
      <w:pPr>
        <w:spacing w:after="0"/>
      </w:pPr>
    </w:p>
    <w:p>
      <w:r>
        <w:br w:type="page"/>
      </w:r>
    </w:p>
    <w:p>
      <w:pPr>
        <w:pStyle w:val="Heading1"/>
      </w:pPr>
      <w:r>
        <w:t>Project tasks continued</w:t>
      </w:r>
    </w:p>
    <w:p>
      <w:r>
        <w:t>Each task inherits the related requirement and full acceptance conditions of its PB item. The check below defines its concrete review output. First and second owners appear in that order; estimates retain the source workshop's planning units.</w:t>
      </w:r>
    </w:p>
    <w:tbl>
      <w:tblPr>
        <w:tblW w:type="auto" w:w="0"/>
        <w:jc w:val="center"/>
        <w:tblLayout w:type="fixed"/>
        <w:tblLook w:firstColumn="1" w:firstRow="1" w:lastColumn="0" w:lastRow="0" w:noHBand="0" w:noVBand="1" w:val="04A0"/>
      </w:tblPr>
      <w:tblGrid>
        <w:gridCol w:w="720"/>
        <w:gridCol w:w="4680"/>
        <w:gridCol w:w="1944"/>
        <w:gridCol w:w="1224"/>
        <w:gridCol w:w="1656"/>
      </w:tblGrid>
      <w:tr>
        <w:trPr>
          <w:cantSplit/>
          <w:tblHeader/>
        </w:trPr>
        <w:tc>
          <w:tcPr>
            <w:tcW w:type="dxa" w:w="7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EF4"/>
          </w:tcPr>
          <w:p>
            <w:pPr>
              <w:spacing w:after="40" w:before="40" w:line="245" w:lineRule="auto"/>
            </w:pPr>
            <w:r>
              <w:rPr>
                <w:b/>
                <w:sz w:val="19"/>
              </w:rPr>
              <w:t>Task</w:t>
            </w:r>
          </w:p>
        </w:tc>
        <w:tc>
          <w:tcPr>
            <w:tcW w:type="dxa" w:w="46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EF4"/>
          </w:tcPr>
          <w:p>
            <w:pPr>
              <w:spacing w:after="40" w:before="40" w:line="245" w:lineRule="auto"/>
            </w:pPr>
            <w:r>
              <w:rPr>
                <w:b/>
                <w:sz w:val="19"/>
              </w:rPr>
              <w:t>Work and acceptance evidence</w:t>
            </w:r>
          </w:p>
        </w:tc>
        <w:tc>
          <w:tcPr>
            <w:tcW w:type="dxa" w:w="19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EF4"/>
          </w:tcPr>
          <w:p>
            <w:pPr>
              <w:spacing w:after="40" w:before="40" w:line="245" w:lineRule="auto"/>
            </w:pPr>
            <w:r>
              <w:rPr>
                <w:b/>
                <w:sz w:val="19"/>
              </w:rPr>
              <w:t>Owners and estimate</w:t>
            </w:r>
          </w:p>
        </w:tc>
        <w:tc>
          <w:tcPr>
            <w:tcW w:type="dxa" w:w="12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EF4"/>
          </w:tcPr>
          <w:p>
            <w:pPr>
              <w:spacing w:after="40" w:before="40" w:line="245" w:lineRule="auto"/>
            </w:pPr>
            <w:r>
              <w:rPr>
                <w:b/>
                <w:sz w:val="19"/>
              </w:rPr>
              <w:t>Depends on</w:t>
            </w:r>
          </w:p>
        </w:tc>
        <w:tc>
          <w:tcPr>
            <w:tcW w:type="dxa" w:w="16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EF4"/>
          </w:tcPr>
          <w:p>
            <w:pPr>
              <w:spacing w:after="40" w:before="40" w:line="245" w:lineRule="auto"/>
            </w:pPr>
            <w:r>
              <w:rPr>
                <w:b/>
                <w:sz w:val="19"/>
              </w:rPr>
              <w:t>Evidence status</w:t>
            </w:r>
          </w:p>
        </w:tc>
      </w:tr>
      <w:tr>
        <w:trPr>
          <w:cantSplit/>
        </w:trPr>
        <w:tc>
          <w:tcPr>
            <w:tcW w:type="dxa" w:w="7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T19</w:t>
              <w:br/>
              <w:t>PB15</w:t>
            </w:r>
          </w:p>
        </w:tc>
        <w:tc>
          <w:tcPr>
            <w:tcW w:type="dxa" w:w="46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Review SD dependencies</w:t>
              <w:br/>
              <w:t>Confirm task-to-task endpoints and 15-actor scope. E6.</w:t>
            </w:r>
          </w:p>
        </w:tc>
        <w:tc>
          <w:tcPr>
            <w:tcW w:type="dxa" w:w="19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Songjie Qiu</w:t>
              <w:br/>
              <w:t>Xinran Zhang</w:t>
              <w:br/>
              <w:t>Estimate 3</w:t>
            </w:r>
          </w:p>
        </w:tc>
        <w:tc>
          <w:tcPr>
            <w:tcW w:type="dxa" w:w="12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T15, T02</w:t>
            </w:r>
          </w:p>
        </w:tc>
        <w:tc>
          <w:tcPr>
            <w:tcW w:type="dxa" w:w="16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Model available</w:t>
            </w:r>
          </w:p>
        </w:tc>
      </w:tr>
      <w:tr>
        <w:trPr>
          <w:cantSplit/>
        </w:trPr>
        <w:tc>
          <w:tcPr>
            <w:tcW w:type="dxa" w:w="7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T20</w:t>
              <w:br/>
              <w:t>PB15</w:t>
            </w:r>
          </w:p>
        </w:tc>
        <w:tc>
          <w:tcPr>
            <w:tcW w:type="dxa" w:w="46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Review SR refinements and applicability</w:t>
              <w:br/>
              <w:t>Check AND/OR semantics and explicit boundary revisions. E6.</w:t>
            </w:r>
          </w:p>
        </w:tc>
        <w:tc>
          <w:tcPr>
            <w:tcW w:type="dxa" w:w="19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Songjie Qiu</w:t>
              <w:br/>
              <w:t>Xinran Zhang</w:t>
              <w:br/>
              <w:t>Estimate 5</w:t>
            </w:r>
          </w:p>
        </w:tc>
        <w:tc>
          <w:tcPr>
            <w:tcW w:type="dxa" w:w="12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T19</w:t>
            </w:r>
          </w:p>
        </w:tc>
        <w:tc>
          <w:tcPr>
            <w:tcW w:type="dxa" w:w="16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Model available</w:t>
            </w:r>
          </w:p>
        </w:tc>
      </w:tr>
      <w:tr>
        <w:trPr>
          <w:cantSplit/>
        </w:trPr>
        <w:tc>
          <w:tcPr>
            <w:tcW w:type="dxa" w:w="7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T21</w:t>
              <w:br/>
              <w:t>PB15</w:t>
            </w:r>
          </w:p>
        </w:tc>
        <w:tc>
          <w:tcPr>
            <w:tcW w:type="dxa" w:w="46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Align models and record feedback</w:t>
              <w:br/>
              <w:t>Resolve model feedback and refresh SP05 source traceability. E6, E7.</w:t>
            </w:r>
          </w:p>
        </w:tc>
        <w:tc>
          <w:tcPr>
            <w:tcW w:type="dxa" w:w="19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Songjie Qiu</w:t>
              <w:br/>
              <w:t>Xinran Zhang</w:t>
              <w:br/>
              <w:t>Estimate 5</w:t>
            </w:r>
          </w:p>
        </w:tc>
        <w:tc>
          <w:tcPr>
            <w:tcW w:type="dxa" w:w="12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T18, T20, T22</w:t>
            </w:r>
          </w:p>
        </w:tc>
        <w:tc>
          <w:tcPr>
            <w:tcW w:type="dxa" w:w="16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Needs review</w:t>
            </w:r>
          </w:p>
        </w:tc>
      </w:tr>
      <w:tr>
        <w:trPr>
          <w:cantSplit/>
        </w:trPr>
        <w:tc>
          <w:tcPr>
            <w:tcW w:type="dxa" w:w="7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T22</w:t>
              <w:br/>
              <w:t>PB16</w:t>
            </w:r>
          </w:p>
        </w:tc>
        <w:tc>
          <w:tcPr>
            <w:tcW w:type="dxa" w:w="46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Assess requirement support and gaps</w:t>
              <w:br/>
              <w:t>Classify support and map each open gap to a task and criterion. E3, E4.</w:t>
            </w:r>
          </w:p>
        </w:tc>
        <w:tc>
          <w:tcPr>
            <w:tcW w:type="dxa" w:w="19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Xinran Zhang</w:t>
              <w:br/>
              <w:t>Chenyu Yang</w:t>
              <w:br/>
              <w:t>Estimate 9</w:t>
            </w:r>
          </w:p>
        </w:tc>
        <w:tc>
          <w:tcPr>
            <w:tcW w:type="dxa" w:w="12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T18, T20</w:t>
            </w:r>
          </w:p>
        </w:tc>
        <w:tc>
          <w:tcPr>
            <w:tcW w:type="dxa" w:w="16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Needs assessment</w:t>
            </w:r>
          </w:p>
        </w:tc>
      </w:tr>
      <w:tr>
        <w:trPr>
          <w:cantSplit/>
        </w:trPr>
        <w:tc>
          <w:tcPr>
            <w:tcW w:type="dxa" w:w="7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T23</w:t>
              <w:br/>
              <w:t>PB17</w:t>
            </w:r>
          </w:p>
        </w:tc>
        <w:tc>
          <w:tcPr>
            <w:tcW w:type="dxa" w:w="46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Preserve baseline acceptance results</w:t>
              <w:br/>
              <w:t>Retain 86 tests, 74 passes and 12 failures with snapshot identity. E4.</w:t>
            </w:r>
          </w:p>
        </w:tc>
        <w:tc>
          <w:tcPr>
            <w:tcW w:type="dxa" w:w="19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Songjie Qiu</w:t>
              <w:br/>
              <w:t>Cathleen Liu</w:t>
              <w:br/>
              <w:t>Estimate 5</w:t>
            </w:r>
          </w:p>
        </w:tc>
        <w:tc>
          <w:tcPr>
            <w:tcW w:type="dxa" w:w="12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T14, T15</w:t>
            </w:r>
          </w:p>
        </w:tc>
        <w:tc>
          <w:tcPr>
            <w:tcW w:type="dxa" w:w="16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Recorded</w:t>
            </w:r>
          </w:p>
        </w:tc>
      </w:tr>
      <w:tr>
        <w:trPr>
          <w:cantSplit/>
        </w:trPr>
        <w:tc>
          <w:tcPr>
            <w:tcW w:type="dxa" w:w="7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T24</w:t>
              <w:br/>
              <w:t>PB17</w:t>
            </w:r>
          </w:p>
        </w:tc>
        <w:tc>
          <w:tcPr>
            <w:tcW w:type="dxa" w:w="46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Retest the integrated current version</w:t>
              <w:br/>
              <w:t>Separate current retests from historical results; retain failed original criteria. E4, E5.</w:t>
            </w:r>
          </w:p>
        </w:tc>
        <w:tc>
          <w:tcPr>
            <w:tcW w:type="dxa" w:w="19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Songjie Qiu</w:t>
              <w:br/>
              <w:t>Cathleen Liu</w:t>
              <w:br/>
              <w:t>Estimate 7</w:t>
            </w:r>
          </w:p>
        </w:tc>
        <w:tc>
          <w:tcPr>
            <w:tcW w:type="dxa" w:w="12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T16, T23</w:t>
            </w:r>
          </w:p>
        </w:tc>
        <w:tc>
          <w:tcPr>
            <w:tcW w:type="dxa" w:w="16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Partial</w:t>
            </w:r>
          </w:p>
        </w:tc>
      </w:tr>
      <w:tr>
        <w:trPr>
          <w:cantSplit/>
        </w:trPr>
        <w:tc>
          <w:tcPr>
            <w:tcW w:type="dxa" w:w="7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T25</w:t>
              <w:br/>
              <w:t>PB18</w:t>
            </w:r>
          </w:p>
        </w:tc>
        <w:tc>
          <w:tcPr>
            <w:tcW w:type="dxa" w:w="46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Prepare demonstration and decisions</w:t>
              <w:br/>
              <w:t>Explain request-to-process evidence, false/503 cases and limitations. E5, E7.</w:t>
            </w:r>
          </w:p>
        </w:tc>
        <w:tc>
          <w:tcPr>
            <w:tcW w:type="dxa" w:w="19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Chenyu Yang</w:t>
              <w:br/>
              <w:t>Songjie Qiu</w:t>
              <w:br/>
              <w:t>Estimate 3</w:t>
            </w:r>
          </w:p>
        </w:tc>
        <w:tc>
          <w:tcPr>
            <w:tcW w:type="dxa" w:w="12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T14, T15, T27</w:t>
            </w:r>
          </w:p>
        </w:tc>
        <w:tc>
          <w:tcPr>
            <w:tcW w:type="dxa" w:w="16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Review pending</w:t>
            </w:r>
          </w:p>
        </w:tc>
      </w:tr>
      <w:tr>
        <w:trPr>
          <w:cantSplit/>
        </w:trPr>
        <w:tc>
          <w:tcPr>
            <w:tcW w:type="dxa" w:w="7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T26</w:t>
              <w:br/>
              <w:t>PB19</w:t>
            </w:r>
          </w:p>
        </w:tc>
        <w:tc>
          <w:tcPr>
            <w:tcW w:type="dxa" w:w="46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Record standups reviews and handovers</w:t>
              <w:br/>
              <w:t>Collect dated individual evidence and reviewer decisions each sprint.</w:t>
            </w:r>
          </w:p>
        </w:tc>
        <w:tc>
          <w:tcPr>
            <w:tcW w:type="dxa" w:w="19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Xinran Zhang</w:t>
              <w:br/>
              <w:t>Songjie Qiu</w:t>
              <w:br/>
              <w:t>Estimate 7</w:t>
            </w:r>
          </w:p>
        </w:tc>
        <w:tc>
          <w:tcPr>
            <w:tcW w:type="dxa" w:w="12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T01</w:t>
            </w:r>
          </w:p>
        </w:tc>
        <w:tc>
          <w:tcPr>
            <w:tcW w:type="dxa" w:w="16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Ongoing</w:t>
            </w:r>
          </w:p>
        </w:tc>
      </w:tr>
      <w:tr>
        <w:trPr>
          <w:cantSplit/>
        </w:trPr>
        <w:tc>
          <w:tcPr>
            <w:tcW w:type="dxa" w:w="7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T27</w:t>
              <w:br/>
              <w:t>PB20</w:t>
            </w:r>
          </w:p>
        </w:tc>
        <w:tc>
          <w:tcPr>
            <w:tcW w:type="dxa" w:w="46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Verify SP05 HTTP contract and recovery</w:t>
              <w:br/>
              <w:t>Verify boolean responses, retries and no booking on 503; archive logs. E5, E7.</w:t>
            </w:r>
          </w:p>
        </w:tc>
        <w:tc>
          <w:tcPr>
            <w:tcW w:type="dxa" w:w="19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Songjie Qiu</w:t>
              <w:br/>
              <w:t>Cathleen Liu</w:t>
              <w:br/>
              <w:t>Estimate 7</w:t>
            </w:r>
          </w:p>
        </w:tc>
        <w:tc>
          <w:tcPr>
            <w:tcW w:type="dxa" w:w="12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T02, T03</w:t>
            </w:r>
          </w:p>
        </w:tc>
        <w:tc>
          <w:tcPr>
            <w:tcW w:type="dxa" w:w="16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Scoped evidence</w:t>
            </w:r>
          </w:p>
        </w:tc>
      </w:tr>
    </w:tbl>
    <w:p>
      <w:pPr>
        <w:spacing w:after="0"/>
      </w:pPr>
    </w:p>
    <w:p>
      <w:r>
        <w:t>T21 is model alignment and feedback, correcting the duplicated SR title in the earlier workshop. T14 and T15 no longer depend on a later assessment that itself requires the baseline. All task dependencies now refer to T01 to T27 and form an acyclic plan.</w:t>
      </w:r>
    </w:p>
    <w:p>
      <w:r>
        <w:br w:type="page"/>
      </w:r>
    </w:p>
    <w:p>
      <w:pPr>
        <w:pStyle w:val="Heading1"/>
      </w:pPr>
      <w:r>
        <w:t>Part 5 Map dependencies</w:t>
      </w:r>
    </w:p>
    <w:p>
      <w:r>
        <w:t>Use the task dependencies as readiness conditions, not as proof that all earlier work is accepted. For partial items, agree the missing output before starting dependent work. T26 records activity throughout; it is not a final-only task.</w:t>
      </w:r>
    </w:p>
    <w:tbl>
      <w:tblPr>
        <w:tblW w:type="auto" w:w="0"/>
        <w:jc w:val="center"/>
        <w:tblLayout w:type="fixed"/>
        <w:tblLook w:firstColumn="1" w:firstRow="1" w:lastColumn="0" w:lastRow="0" w:noHBand="0" w:noVBand="1" w:val="04A0"/>
      </w:tblPr>
      <w:tblGrid>
        <w:gridCol w:w="3816"/>
        <w:gridCol w:w="2232"/>
        <w:gridCol w:w="4176"/>
      </w:tblGrid>
      <w:tr>
        <w:trPr>
          <w:cantSplit/>
          <w:tblHeader/>
        </w:trPr>
        <w:tc>
          <w:tcPr>
            <w:tcW w:type="dxa" w:w="38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EF4"/>
          </w:tcPr>
          <w:p>
            <w:pPr>
              <w:spacing w:after="40" w:before="40" w:line="245" w:lineRule="auto"/>
            </w:pPr>
            <w:r>
              <w:rPr>
                <w:b/>
                <w:sz w:val="19"/>
              </w:rPr>
              <w:t>Dependency or risk</w:t>
            </w:r>
          </w:p>
        </w:tc>
        <w:tc>
          <w:tcPr>
            <w:tcW w:type="dxa" w:w="22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EF4"/>
          </w:tcPr>
          <w:p>
            <w:pPr>
              <w:spacing w:after="40" w:before="40" w:line="245" w:lineRule="auto"/>
            </w:pPr>
            <w:r>
              <w:rPr>
                <w:b/>
                <w:sz w:val="19"/>
              </w:rPr>
              <w:t>Who coordinates</w:t>
            </w:r>
          </w:p>
        </w:tc>
        <w:tc>
          <w:tcPr>
            <w:tcW w:type="dxa" w:w="41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EF4"/>
          </w:tcPr>
          <w:p>
            <w:pPr>
              <w:spacing w:after="40" w:before="40" w:line="245" w:lineRule="auto"/>
            </w:pPr>
            <w:r>
              <w:rPr>
                <w:b/>
                <w:sz w:val="19"/>
              </w:rPr>
              <w:t>Fallback and required decision</w:t>
            </w:r>
          </w:p>
        </w:tc>
      </w:tr>
      <w:tr>
        <w:trPr>
          <w:cantSplit/>
        </w:trPr>
        <w:tc>
          <w:tcPr>
            <w:tcW w:type="dxa" w:w="38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T01 and T02 before T03; T03 before T04, T07, T12 and T27</w:t>
            </w:r>
          </w:p>
        </w:tc>
        <w:tc>
          <w:tcPr>
            <w:tcW w:type="dxa" w:w="22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Xinran Zhang and Cathleen Liu</w:t>
            </w:r>
          </w:p>
        </w:tc>
        <w:tc>
          <w:tcPr>
            <w:tcW w:type="dxa" w:w="41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Record disputed requirements explicitly; do not invent clinical rules.</w:t>
            </w:r>
          </w:p>
        </w:tc>
      </w:tr>
      <w:tr>
        <w:trPr>
          <w:cantSplit/>
        </w:trPr>
        <w:tc>
          <w:tcPr>
            <w:tcW w:type="dxa" w:w="38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T14 before T15; T15 before T18, T19 and T23</w:t>
            </w:r>
          </w:p>
        </w:tc>
        <w:tc>
          <w:tcPr>
            <w:tcW w:type="dxa" w:w="22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Songjie Qiu with Chenyu Yang</w:t>
            </w:r>
          </w:p>
        </w:tc>
        <w:tc>
          <w:tcPr>
            <w:tcW w:type="dxa" w:w="41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Keep a versioned baseline and list open tests; do not describe baseline capture as acceptance.</w:t>
            </w:r>
          </w:p>
        </w:tc>
      </w:tr>
      <w:tr>
        <w:trPr>
          <w:cantSplit/>
        </w:trPr>
        <w:tc>
          <w:tcPr>
            <w:tcW w:type="dxa" w:w="38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T18 and T20 before T22; T22 before T21</w:t>
            </w:r>
          </w:p>
        </w:tc>
        <w:tc>
          <w:tcPr>
            <w:tcW w:type="dxa" w:w="22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Xinran Zhang and Songjie Qiu</w:t>
            </w:r>
          </w:p>
        </w:tc>
        <w:tc>
          <w:tcPr>
            <w:tcW w:type="dxa" w:w="41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Document the strategic/BPMN boundary difference and SP05 trace update.</w:t>
            </w:r>
          </w:p>
        </w:tc>
      </w:tr>
      <w:tr>
        <w:trPr>
          <w:cantSplit/>
        </w:trPr>
        <w:tc>
          <w:tcPr>
            <w:tcW w:type="dxa" w:w="38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T21, T23 and T27 before T16; T16 before T24</w:t>
            </w:r>
          </w:p>
        </w:tc>
        <w:tc>
          <w:tcPr>
            <w:tcW w:type="dxa" w:w="22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Songjie Qiu with Chenyu Yang and Cathleen Liu</w:t>
            </w:r>
          </w:p>
        </w:tc>
        <w:tc>
          <w:tcPr>
            <w:tcW w:type="dxa" w:w="41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Retest on a new identified version and preserve historical failures.</w:t>
            </w:r>
          </w:p>
        </w:tc>
      </w:tr>
      <w:tr>
        <w:trPr>
          <w:cantSplit/>
        </w:trPr>
        <w:tc>
          <w:tcPr>
            <w:tcW w:type="dxa" w:w="38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Mock or Connector unavailable</w:t>
            </w:r>
          </w:p>
        </w:tc>
        <w:tc>
          <w:tcPr>
            <w:tcW w:type="dxa" w:w="22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Songjie Qiu and Cathleen Liu</w:t>
            </w:r>
          </w:p>
        </w:tc>
        <w:tc>
          <w:tcPr>
            <w:tcW w:type="dxa" w:w="41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Inspect local Mock, Runtime and secret configuration; mark integration blocked instead of using stub results as live evidence.</w:t>
            </w:r>
          </w:p>
        </w:tc>
      </w:tr>
      <w:tr>
        <w:trPr>
          <w:cantSplit/>
        </w:trPr>
        <w:tc>
          <w:tcPr>
            <w:tcW w:type="dxa" w:w="38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Owner unavailable or task delayed</w:t>
            </w:r>
          </w:p>
        </w:tc>
        <w:tc>
          <w:tcPr>
            <w:tcW w:type="dxa" w:w="22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First owner and second owner</w:t>
            </w:r>
          </w:p>
        </w:tc>
        <w:tc>
          <w:tcPr>
            <w:tcW w:type="dxa" w:w="41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Notify downstream owners; hand over commit, reproduction steps, evidence and remaining work.</w:t>
            </w:r>
          </w:p>
        </w:tc>
      </w:tr>
    </w:tbl>
    <w:p>
      <w:pPr>
        <w:spacing w:after="0"/>
      </w:pPr>
    </w:p>
    <w:p>
      <w:pPr>
        <w:pStyle w:val="Heading1"/>
      </w:pPr>
      <w:r>
        <w:t>Part 6 Create sprint backlogs</w:t>
      </w:r>
    </w:p>
    <w:p>
      <w:r>
        <w:t>The following four sprints organise review and remaining work. They are proposed allocations, with no invented meeting dates or completed velocity. At planning, split oversized fixes and re-estimate remaining effort. Existing artefacts may be reviewed without reimplementing them.</w:t>
      </w:r>
    </w:p>
    <w:tbl>
      <w:tblPr>
        <w:tblW w:type="auto" w:w="0"/>
        <w:jc w:val="center"/>
        <w:tblLayout w:type="fixed"/>
        <w:tblLook w:firstColumn="1" w:firstRow="1" w:lastColumn="0" w:lastRow="0" w:noHBand="0" w:noVBand="1" w:val="04A0"/>
      </w:tblPr>
      <w:tblGrid>
        <w:gridCol w:w="792"/>
        <w:gridCol w:w="5976"/>
        <w:gridCol w:w="3456"/>
      </w:tblGrid>
      <w:tr>
        <w:trPr>
          <w:cantSplit/>
          <w:tblHeader/>
        </w:trPr>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EF4"/>
          </w:tcPr>
          <w:p>
            <w:pPr>
              <w:spacing w:after="40" w:before="40" w:line="245" w:lineRule="auto"/>
            </w:pPr>
            <w:r>
              <w:rPr>
                <w:b/>
                <w:sz w:val="19"/>
              </w:rPr>
              <w:t>Sprint</w:t>
            </w:r>
          </w:p>
        </w:tc>
        <w:tc>
          <w:tcPr>
            <w:tcW w:type="dxa" w:w="59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EF4"/>
          </w:tcPr>
          <w:p>
            <w:pPr>
              <w:spacing w:after="40" w:before="40" w:line="245" w:lineRule="auto"/>
            </w:pPr>
            <w:r>
              <w:rPr>
                <w:b/>
                <w:sz w:val="19"/>
              </w:rPr>
              <w:t>Selected tasks and goal</w:t>
            </w:r>
          </w:p>
        </w:tc>
        <w:tc>
          <w:tcPr>
            <w:tcW w:type="dxa" w:w="34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EF4"/>
          </w:tcPr>
          <w:p>
            <w:pPr>
              <w:spacing w:after="40" w:before="40" w:line="245" w:lineRule="auto"/>
            </w:pPr>
            <w:r>
              <w:rPr>
                <w:b/>
                <w:sz w:val="19"/>
              </w:rPr>
              <w:t>Exit evidence</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1</w:t>
            </w:r>
          </w:p>
        </w:tc>
        <w:tc>
          <w:tcPr>
            <w:tcW w:type="dxa" w:w="59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T01-T04, T07, T12, T14, T15, T27; T26 ongoing. Confirm current scope, integrated baseline and SP05 contract.</w:t>
            </w:r>
          </w:p>
        </w:tc>
        <w:tc>
          <w:tcPr>
            <w:tcW w:type="dxa" w:w="34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Reviewed requirements, versioned baseline, deployment checks and three SP05 scenario traces.</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2</w:t>
            </w:r>
          </w:p>
        </w:tc>
        <w:tc>
          <w:tcPr>
            <w:tcW w:type="dxa" w:w="59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T05, T06, T08-T11, T13, T17; T26 ongoing. Repair business guards, reminders, recovery and audit gaps.</w:t>
            </w:r>
          </w:p>
        </w:tc>
        <w:tc>
          <w:tcPr>
            <w:tcW w:type="dxa" w:w="34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Negative and boundary tests; ordered finance trace; remaining-gap register.</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3</w:t>
            </w:r>
          </w:p>
        </w:tc>
        <w:tc>
          <w:tcPr>
            <w:tcW w:type="dxa" w:w="59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T18-T23; T26 ongoing. Align strategic models, assess support and retain baseline results.</w:t>
            </w:r>
          </w:p>
        </w:tc>
        <w:tc>
          <w:tcPr>
            <w:tcW w:type="dxa" w:w="34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Reviewed model mappings, feedback decisions, source hashes and acceptance baseline.</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4</w:t>
            </w:r>
          </w:p>
        </w:tc>
        <w:tc>
          <w:tcPr>
            <w:tcW w:type="dxa" w:w="59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T16, T24, T25; T26 ongoing. Integrate approved fixes, retest and demonstrate.</w:t>
            </w:r>
          </w:p>
        </w:tc>
        <w:tc>
          <w:tcPr>
            <w:tcW w:type="dxa" w:w="34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Current retest pack, demonstration, unresolved issues and contribution records.</w:t>
            </w:r>
          </w:p>
        </w:tc>
      </w:tr>
    </w:tbl>
    <w:p>
      <w:pPr>
        <w:spacing w:after="0"/>
      </w:pPr>
    </w:p>
    <w:p>
      <w:r>
        <w:br w:type="page"/>
      </w:r>
    </w:p>
    <w:p>
      <w:pPr>
        <w:pStyle w:val="Heading1"/>
      </w:pPr>
      <w:r>
        <w:t>Part 7 Prepare for standups</w:t>
      </w:r>
    </w:p>
    <w:p>
      <w:r>
        <w:t>Each person reports what they completed, what they will do next, blockers, the supporting evidence, second-owner support and any handover. The prompts below are assigned focus areas, not fabricated reports of work already done.</w:t>
      </w:r>
    </w:p>
    <w:tbl>
      <w:tblPr>
        <w:tblW w:type="auto" w:w="0"/>
        <w:jc w:val="center"/>
        <w:tblLayout w:type="fixed"/>
        <w:tblLook w:firstColumn="1" w:firstRow="1" w:lastColumn="0" w:lastRow="0" w:noHBand="0" w:noVBand="1" w:val="04A0"/>
      </w:tblPr>
      <w:tblGrid>
        <w:gridCol w:w="1512"/>
        <w:gridCol w:w="4464"/>
        <w:gridCol w:w="4248"/>
      </w:tblGrid>
      <w:tr>
        <w:trPr>
          <w:cantSplit/>
          <w:tblHeader/>
        </w:trPr>
        <w:tc>
          <w:tcPr>
            <w:tcW w:type="dxa" w:w="15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EF4"/>
          </w:tcPr>
          <w:p>
            <w:pPr>
              <w:spacing w:after="40" w:before="40" w:line="245" w:lineRule="auto"/>
            </w:pPr>
            <w:r>
              <w:rPr>
                <w:b/>
                <w:sz w:val="19"/>
              </w:rPr>
              <w:t>Student</w:t>
            </w:r>
          </w:p>
        </w:tc>
        <w:tc>
          <w:tcPr>
            <w:tcW w:type="dxa" w:w="44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EF4"/>
          </w:tcPr>
          <w:p>
            <w:pPr>
              <w:spacing w:after="40" w:before="40" w:line="245" w:lineRule="auto"/>
            </w:pPr>
            <w:r>
              <w:rPr>
                <w:b/>
                <w:sz w:val="19"/>
              </w:rPr>
              <w:t>Next update should cover</w:t>
            </w:r>
          </w:p>
        </w:tc>
        <w:tc>
          <w:tcPr>
            <w:tcW w:type="dxa" w:w="42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EF4"/>
          </w:tcPr>
          <w:p>
            <w:pPr>
              <w:spacing w:after="40" w:before="40" w:line="245" w:lineRule="auto"/>
            </w:pPr>
            <w:r>
              <w:rPr>
                <w:b/>
                <w:sz w:val="19"/>
              </w:rPr>
              <w:t>Completion evidence and blocker</w:t>
            </w:r>
          </w:p>
        </w:tc>
      </w:tr>
      <w:tr>
        <w:trPr>
          <w:cantSplit/>
        </w:trPr>
        <w:tc>
          <w:tcPr>
            <w:tcW w:type="dxa" w:w="15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Xinran Zhang</w:t>
            </w:r>
          </w:p>
        </w:tc>
        <w:tc>
          <w:tcPr>
            <w:tcW w:type="dxa" w:w="44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Requirements crosswalk, consent or treatment gaps, consistency assessment and team records.</w:t>
            </w:r>
          </w:p>
        </w:tc>
        <w:tc>
          <w:tcPr>
            <w:tcW w:type="dxa" w:w="42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To be entered by the student with task ID, commit or evidence path, and date.</w:t>
            </w:r>
          </w:p>
        </w:tc>
      </w:tr>
      <w:tr>
        <w:trPr>
          <w:cantSplit/>
        </w:trPr>
        <w:tc>
          <w:tcPr>
            <w:tcW w:type="dxa" w:w="15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Cathleen Liu</w:t>
            </w:r>
          </w:p>
        </w:tc>
        <w:tc>
          <w:tcPr>
            <w:tcW w:type="dxa" w:w="44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Operational flow, booking/date rules, finance guards, role boundaries and strategic BPMN.</w:t>
            </w:r>
          </w:p>
        </w:tc>
        <w:tc>
          <w:tcPr>
            <w:tcW w:type="dxa" w:w="42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To be entered by the student with task ID, commit or evidence path, and date.</w:t>
            </w:r>
          </w:p>
        </w:tc>
      </w:tr>
      <w:tr>
        <w:trPr>
          <w:cantSplit/>
        </w:trPr>
        <w:tc>
          <w:tcPr>
            <w:tcW w:type="dxa" w:w="15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Chenyu Yang</w:t>
            </w:r>
          </w:p>
        </w:tc>
        <w:tc>
          <w:tcPr>
            <w:tcW w:type="dxa" w:w="44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Enquiries, letters, reporting needs and demonstration preparation.</w:t>
            </w:r>
          </w:p>
        </w:tc>
        <w:tc>
          <w:tcPr>
            <w:tcW w:type="dxa" w:w="42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To be entered by the student with task ID, commit or evidence path, and date.</w:t>
            </w:r>
          </w:p>
        </w:tc>
      </w:tr>
      <w:tr>
        <w:trPr>
          <w:cantSplit/>
        </w:trPr>
        <w:tc>
          <w:tcPr>
            <w:tcW w:type="dxa" w:w="15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Songjie Qiu</w:t>
            </w:r>
          </w:p>
        </w:tc>
        <w:tc>
          <w:tcPr>
            <w:tcW w:type="dxa" w:w="44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SP05 integration, baseline/retests, iStar alignment and release evidence.</w:t>
            </w:r>
          </w:p>
        </w:tc>
        <w:tc>
          <w:tcPr>
            <w:tcW w:type="dxa" w:w="42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before="40" w:line="245" w:lineRule="auto"/>
            </w:pPr>
            <w:r>
              <w:rPr>
                <w:b w:val="0"/>
                <w:sz w:val="19"/>
              </w:rPr>
              <w:t>To be entered by the student with task ID, commit or evidence path, and date.</w:t>
            </w:r>
          </w:p>
        </w:tc>
      </w:tr>
    </w:tbl>
    <w:p>
      <w:pPr>
        <w:spacing w:after="0"/>
      </w:pPr>
    </w:p>
    <w:p>
      <w:r>
        <w:t>For each update record: task ID; work completed; evidence link; next action; blocker; second-owner support needed; handover recipient and location. Keep actual meeting notes and personal contributions separate from this planning baseline.</w:t>
      </w:r>
    </w:p>
    <w:p>
      <w:pPr>
        <w:pStyle w:val="Heading1"/>
      </w:pPr>
      <w:r>
        <w:t>Part 8 Prepare for sprint reviews</w:t>
      </w:r>
    </w:p>
    <w:p>
      <w:r>
        <w:t>Demonstrate the current integrated increment and record the review decision. Show completed and unfinished tasks, design choices, integration evidence, test outcomes, feedback and the resulting backlog changes.</w:t>
      </w:r>
    </w:p>
    <w:p>
      <w:pPr>
        <w:pStyle w:val="ListBullet"/>
      </w:pPr>
      <w:r>
        <w:t>Identify the commit, source BPMN hash and deployed definition before demonstrating a case.</w:t>
      </w:r>
    </w:p>
    <w:p>
      <w:pPr>
        <w:pStyle w:val="ListBullet"/>
      </w:pPr>
      <w:r>
        <w:t>Show the normal referral and consent flow, the SP05 HTTP request and boolean mapping, pending capacity and a controlled failed-call case.</w:t>
      </w:r>
    </w:p>
    <w:p>
      <w:pPr>
        <w:pStyle w:val="ListBullet"/>
      </w:pPr>
      <w:r>
        <w:t>Explain which tasks used browser forms, which were completed through API and which external responses were simulated.</w:t>
      </w:r>
    </w:p>
    <w:p>
      <w:pPr>
        <w:pStyle w:val="ListBullet"/>
      </w:pPr>
      <w:r>
        <w:t>Review the original acceptance gaps, changed criteria and remaining role, audit, reminder and data-isolation work.</w:t>
      </w:r>
    </w:p>
    <w:p>
      <w:pPr>
        <w:pStyle w:val="ListBullet"/>
      </w:pPr>
      <w:r>
        <w:t>Record feedback with an owner, affected PB/T item, decision and next review point; confirm handovers and individual evidence.</w:t>
      </w:r>
    </w:p>
    <w:p>
      <w:pPr>
        <w:pStyle w:val="Heading2"/>
      </w:pPr>
      <w:r>
        <w:t>Definition of done</w:t>
      </w:r>
    </w:p>
    <w:p>
      <w:r>
        <w:t>A task is done when its stated acceptance checks pass for an identified version, evidence is stored, the second owner has reviewed it and the team records the decision. A diagram, a successful deployment or a single happy path is insufficient for broader business acceptance. If an agreed criterion remains unmet, keep the item partial or open and record the next action.</w:t>
      </w:r>
    </w:p>
    <w:p>
      <w:r>
        <w:br w:type="page"/>
      </w:r>
    </w:p>
    <w:p>
      <w:pPr>
        <w:pStyle w:val="Heading1"/>
      </w:pPr>
      <w:r>
        <w:t>Evidence register and review boundaries</w:t>
      </w:r>
    </w:p>
    <w:p>
      <w:r>
        <w:t>Paths below are relative to version2. They identify repository evidence available at baseline 1402859; this workshop revision does not rerun application tests.</w:t>
      </w:r>
    </w:p>
    <w:p>
      <w:pPr>
        <w:pStyle w:val="Heading2"/>
      </w:pPr>
      <w:r>
        <w:t>E1 Executable process</w:t>
      </w:r>
    </w:p>
    <w:p>
      <w:r>
        <w:t>hospital-patient-pathway.bpmn</w:t>
      </w:r>
    </w:p>
    <w:p>
      <w:pPr>
        <w:pStyle w:val="Heading2"/>
      </w:pPr>
      <w:r>
        <w:t>E2 Forms and worker implementation</w:t>
      </w:r>
    </w:p>
    <w:p>
      <w:r>
        <w:t>forms/ ; java/src/main/java/io/camunda/demo/hpas/HpasJobExecutor.java</w:t>
      </w:r>
    </w:p>
    <w:p>
      <w:pPr>
        <w:pStyle w:val="Heading2"/>
      </w:pPr>
      <w:r>
        <w:t>E3 Acceptance criteria</w:t>
      </w:r>
    </w:p>
    <w:p>
      <w:r>
        <w:t>docs/ACCEPTANCE_TEST_PLAN_VERSION2.zh-CN.md ; Hospital_Patient_Pathway_Acceptance_Test_Plan.docx</w:t>
      </w:r>
    </w:p>
    <w:p>
      <w:pPr>
        <w:pStyle w:val="Heading2"/>
      </w:pPr>
      <w:r>
        <w:t>E4 Historical frozen acceptance results</w:t>
      </w:r>
    </w:p>
    <w:p>
      <w:r>
        <w:t>TEST_RESULTS_VERSION2.zh-CN.md ; evidence/acceptance-results.json ; evidence/acceptance-input/manifest.json</w:t>
      </w:r>
    </w:p>
    <w:p>
      <w:pPr>
        <w:pStyle w:val="Heading2"/>
      </w:pPr>
      <w:r>
        <w:t>E5 Current SP05 local integration and browser evidence</w:t>
      </w:r>
    </w:p>
    <w:p>
      <w:r>
        <w:t>evidence/SP05_E2E.zh-CN.md ; evidence/SP05_WEB_E2E.zh-CN.md ; evidence/sp05-e2e-results.json ; evidence/sp05-web-e2e-results.json</w:t>
      </w:r>
    </w:p>
    <w:p>
      <w:pPr>
        <w:pStyle w:val="Heading2"/>
      </w:pPr>
      <w:r>
        <w:t>E6 Strategic model and structural validation</w:t>
      </w:r>
    </w:p>
    <w:p>
      <w:r>
        <w:t>goalModel.txt ; istar/README.md ; istar/model-validation.json ; istar/native-validation.json</w:t>
      </w:r>
    </w:p>
    <w:p>
      <w:pPr>
        <w:pStyle w:val="Heading2"/>
      </w:pPr>
      <w:r>
        <w:t>E7 SP05 implementation and deployment</w:t>
      </w:r>
    </w:p>
    <w:p>
      <w:r>
        <w:t>docs/SP05_CHANGE_REPORT.zh-CN.md ; postman/README.zh-CN.md ; tools/apply_sp05_rest.py</w:t>
      </w:r>
    </w:p>
    <w:p>
      <w:pPr>
        <w:pStyle w:val="Heading2"/>
      </w:pPr>
      <w:r>
        <w:t>What the recorded results establish</w:t>
      </w:r>
    </w:p>
    <w:p>
      <w:r>
        <w:t>The frozen acceptance pack reports 86 tests: 74 passed and 12 failed, with 401/401 route coverage. Its 55-worker baseline and 37/37 API-completed user tasks belong to that snapshot. They do not prove all original business criteria, all browser forms or current Connector integration.</w:t>
      </w:r>
    </w:p>
    <w:p>
      <w:r>
        <w:t>The current executable model uses 54 Java worker types plus one REST Connector type. The SP05 local evidence records true, false and HTTP 503 scenarios; only the true scenario was a full end-to-end run. The other two started at SP05 and were terminated after evidence collection. Separate browser evidence records 12 submissions across nine form types, COMPLETED and zero incidents on one success pathway.</w:t>
      </w:r>
    </w:p>
    <w:p>
      <w:r>
        <w:t>Remaining limits include role isolation, repeated-letter variable isolation, cloud Mock TLS and Connector inbound scanning. Connector execution is not written to the Java H2 event_log. The iStar source hash predates the SP05 adaptation and needs a traceability review; its internal clinical-support boundary remains a deliberate strategic revision.</w:t>
      </w:r>
    </w:p>
    <w:p>
      <w:r>
        <w:br w:type="page"/>
      </w:r>
    </w:p>
    <w:p>
      <w:pPr>
        <w:pStyle w:val="Heading1"/>
      </w:pPr>
      <w:r>
        <w:t>Confirmed individual contributions</w:t>
      </w:r>
    </w:p>
    <w:p>
      <w:r>
        <w:t>The team confirmed the authorship below on 20 October 2026. It covers BPMN, SD/SR, Worker implementation and strategic-model portions for the 16 numbered business activities in the case study.</w:t>
      </w:r>
    </w:p>
    <w:tbl>
      <w:tblPr>
        <w:tblW w:type="auto" w:w="0"/>
        <w:jc w:val="center"/>
        <w:tblLayout w:type="fixed"/>
        <w:tblLook w:firstColumn="1" w:firstRow="1" w:lastColumn="0" w:lastRow="0" w:noHBand="0" w:noVBand="1" w:val="04A0"/>
      </w:tblPr>
      <w:tblGrid>
        <w:gridCol w:w="3744"/>
        <w:gridCol w:w="3024"/>
        <w:gridCol w:w="2304"/>
      </w:tblGrid>
      <w:tr>
        <w:tc>
          <w:tcPr>
            <w:tcW w:type="dxa" w:w="3408"/>
            <w:vAlign w:val="center"/>
            <w:tcBorders>
              <w:top w:val="single" w:sz="4" w:color="D9D9D9"/>
              <w:left w:val="single" w:sz="4" w:color="D9D9D9"/>
              <w:bottom w:val="single" w:sz="4" w:color="D9D9D9"/>
              <w:right w:val="single" w:sz="4" w:color="D9D9D9"/>
            </w:tcBorders>
            <w:shd w:fill="E7E6E6"/>
          </w:tcPr>
          <w:p>
            <w:pPr>
              <w:spacing w:before="120" w:after="120"/>
            </w:pPr>
            <w:r>
              <w:rPr>
                <w:b/>
                <w:sz w:val="22"/>
              </w:rPr>
              <w:t>Student</w:t>
            </w:r>
          </w:p>
        </w:tc>
        <w:tc>
          <w:tcPr>
            <w:tcW w:type="dxa" w:w="3408"/>
            <w:vAlign w:val="center"/>
            <w:tcBorders>
              <w:top w:val="single" w:sz="4" w:color="D9D9D9"/>
              <w:left w:val="single" w:sz="4" w:color="D9D9D9"/>
              <w:bottom w:val="single" w:sz="4" w:color="D9D9D9"/>
              <w:right w:val="single" w:sz="4" w:color="D9D9D9"/>
            </w:tcBorders>
            <w:shd w:fill="E7E6E6"/>
          </w:tcPr>
          <w:p>
            <w:pPr>
              <w:spacing w:before="120" w:after="120"/>
            </w:pPr>
            <w:r>
              <w:rPr>
                <w:b/>
                <w:sz w:val="22"/>
              </w:rPr>
              <w:t>Business activities</w:t>
            </w:r>
          </w:p>
        </w:tc>
        <w:tc>
          <w:tcPr>
            <w:tcW w:type="dxa" w:w="3408"/>
            <w:vAlign w:val="center"/>
            <w:tcBorders>
              <w:top w:val="single" w:sz="4" w:color="D9D9D9"/>
              <w:left w:val="single" w:sz="4" w:color="D9D9D9"/>
              <w:bottom w:val="single" w:sz="4" w:color="D9D9D9"/>
              <w:right w:val="single" w:sz="4" w:color="D9D9D9"/>
            </w:tcBorders>
            <w:shd w:fill="E7E6E6"/>
          </w:tcPr>
          <w:p>
            <w:pPr>
              <w:spacing w:before="120" w:after="120"/>
            </w:pPr>
            <w:r>
              <w:rPr>
                <w:b/>
                <w:sz w:val="22"/>
              </w:rPr>
              <w:t>Contribution</w:t>
            </w:r>
          </w:p>
        </w:tc>
      </w:tr>
      <w:tr>
        <w:tc>
          <w:tcPr>
            <w:tcW w:type="dxa" w:w="3744"/>
            <w:vAlign w:val="center"/>
            <w:tcBorders>
              <w:top w:val="single" w:sz="4" w:color="D9D9D9"/>
              <w:left w:val="single" w:sz="4" w:color="D9D9D9"/>
              <w:bottom w:val="single" w:sz="4" w:color="D9D9D9"/>
              <w:right w:val="single" w:sz="4" w:color="D9D9D9"/>
            </w:tcBorders>
          </w:tcPr>
          <w:p>
            <w:pPr>
              <w:spacing w:before="120" w:after="120"/>
            </w:pPr>
            <w:r>
              <w:rPr>
                <w:b w:val="0"/>
                <w:sz w:val="22"/>
              </w:rPr>
              <w:t>Xinran Zhang</w:t>
              <w:br/>
              <w:t>23084415</w:t>
            </w:r>
          </w:p>
        </w:tc>
        <w:tc>
          <w:tcPr>
            <w:tcW w:type="dxa" w:w="3024"/>
            <w:vAlign w:val="center"/>
            <w:tcBorders>
              <w:top w:val="single" w:sz="4" w:color="D9D9D9"/>
              <w:left w:val="single" w:sz="4" w:color="D9D9D9"/>
              <w:bottom w:val="single" w:sz="4" w:color="D9D9D9"/>
              <w:right w:val="single" w:sz="4" w:color="D9D9D9"/>
            </w:tcBorders>
          </w:tcPr>
          <w:p>
            <w:pPr>
              <w:spacing w:before="120" w:after="120"/>
            </w:pPr>
            <w:r>
              <w:rPr>
                <w:b w:val="0"/>
                <w:sz w:val="22"/>
              </w:rPr>
              <w:t>Activities 1-5</w:t>
            </w:r>
          </w:p>
        </w:tc>
        <w:tc>
          <w:tcPr>
            <w:tcW w:type="dxa" w:w="2304"/>
            <w:vAlign w:val="center"/>
            <w:tcBorders>
              <w:top w:val="single" w:sz="4" w:color="D9D9D9"/>
              <w:left w:val="single" w:sz="4" w:color="D9D9D9"/>
              <w:bottom w:val="single" w:sz="4" w:color="D9D9D9"/>
              <w:right w:val="single" w:sz="4" w:color="D9D9D9"/>
            </w:tcBorders>
          </w:tcPr>
          <w:p>
            <w:pPr>
              <w:spacing w:before="120" w:after="120"/>
            </w:pPr>
            <w:r>
              <w:rPr>
                <w:b w:val="0"/>
                <w:sz w:val="22"/>
              </w:rPr>
              <w:t>26%</w:t>
            </w:r>
          </w:p>
        </w:tc>
      </w:tr>
      <w:tr>
        <w:tc>
          <w:tcPr>
            <w:tcW w:type="dxa" w:w="3744"/>
            <w:vAlign w:val="center"/>
            <w:tcBorders>
              <w:top w:val="single" w:sz="4" w:color="D9D9D9"/>
              <w:left w:val="single" w:sz="4" w:color="D9D9D9"/>
              <w:bottom w:val="single" w:sz="4" w:color="D9D9D9"/>
              <w:right w:val="single" w:sz="4" w:color="D9D9D9"/>
            </w:tcBorders>
          </w:tcPr>
          <w:p>
            <w:pPr>
              <w:spacing w:before="120" w:after="120"/>
            </w:pPr>
            <w:r>
              <w:rPr>
                <w:b w:val="0"/>
                <w:sz w:val="22"/>
              </w:rPr>
              <w:t>Songjie Qiu</w:t>
              <w:br/>
              <w:t>23084419</w:t>
            </w:r>
          </w:p>
        </w:tc>
        <w:tc>
          <w:tcPr>
            <w:tcW w:type="dxa" w:w="3024"/>
            <w:vAlign w:val="center"/>
            <w:tcBorders>
              <w:top w:val="single" w:sz="4" w:color="D9D9D9"/>
              <w:left w:val="single" w:sz="4" w:color="D9D9D9"/>
              <w:bottom w:val="single" w:sz="4" w:color="D9D9D9"/>
              <w:right w:val="single" w:sz="4" w:color="D9D9D9"/>
            </w:tcBorders>
          </w:tcPr>
          <w:p>
            <w:pPr>
              <w:spacing w:before="120" w:after="120"/>
            </w:pPr>
            <w:r>
              <w:rPr>
                <w:b w:val="0"/>
                <w:sz w:val="22"/>
              </w:rPr>
              <w:t>Activities 9-13</w:t>
            </w:r>
          </w:p>
        </w:tc>
        <w:tc>
          <w:tcPr>
            <w:tcW w:type="dxa" w:w="2304"/>
            <w:vAlign w:val="center"/>
            <w:tcBorders>
              <w:top w:val="single" w:sz="4" w:color="D9D9D9"/>
              <w:left w:val="single" w:sz="4" w:color="D9D9D9"/>
              <w:bottom w:val="single" w:sz="4" w:color="D9D9D9"/>
              <w:right w:val="single" w:sz="4" w:color="D9D9D9"/>
            </w:tcBorders>
          </w:tcPr>
          <w:p>
            <w:pPr>
              <w:spacing w:before="120" w:after="120"/>
            </w:pPr>
            <w:r>
              <w:rPr>
                <w:b w:val="0"/>
                <w:sz w:val="22"/>
              </w:rPr>
              <w:t>26%</w:t>
            </w:r>
          </w:p>
        </w:tc>
      </w:tr>
      <w:tr>
        <w:tc>
          <w:tcPr>
            <w:tcW w:type="dxa" w:w="3744"/>
            <w:vAlign w:val="center"/>
            <w:tcBorders>
              <w:top w:val="single" w:sz="4" w:color="D9D9D9"/>
              <w:left w:val="single" w:sz="4" w:color="D9D9D9"/>
              <w:bottom w:val="single" w:sz="4" w:color="D9D9D9"/>
              <w:right w:val="single" w:sz="4" w:color="D9D9D9"/>
            </w:tcBorders>
          </w:tcPr>
          <w:p>
            <w:pPr>
              <w:spacing w:before="120" w:after="120"/>
            </w:pPr>
            <w:r>
              <w:rPr>
                <w:b w:val="0"/>
                <w:sz w:val="22"/>
              </w:rPr>
              <w:t>Chenyu Yang</w:t>
              <w:br/>
              <w:t>23084439</w:t>
            </w:r>
          </w:p>
        </w:tc>
        <w:tc>
          <w:tcPr>
            <w:tcW w:type="dxa" w:w="3024"/>
            <w:vAlign w:val="center"/>
            <w:tcBorders>
              <w:top w:val="single" w:sz="4" w:color="D9D9D9"/>
              <w:left w:val="single" w:sz="4" w:color="D9D9D9"/>
              <w:bottom w:val="single" w:sz="4" w:color="D9D9D9"/>
              <w:right w:val="single" w:sz="4" w:color="D9D9D9"/>
            </w:tcBorders>
          </w:tcPr>
          <w:p>
            <w:pPr>
              <w:spacing w:before="120" w:after="120"/>
            </w:pPr>
            <w:r>
              <w:rPr>
                <w:b w:val="0"/>
                <w:sz w:val="22"/>
              </w:rPr>
              <w:t>Activities 14-16</w:t>
            </w:r>
          </w:p>
        </w:tc>
        <w:tc>
          <w:tcPr>
            <w:tcW w:type="dxa" w:w="2304"/>
            <w:vAlign w:val="center"/>
            <w:tcBorders>
              <w:top w:val="single" w:sz="4" w:color="D9D9D9"/>
              <w:left w:val="single" w:sz="4" w:color="D9D9D9"/>
              <w:bottom w:val="single" w:sz="4" w:color="D9D9D9"/>
              <w:right w:val="single" w:sz="4" w:color="D9D9D9"/>
            </w:tcBorders>
          </w:tcPr>
          <w:p>
            <w:pPr>
              <w:spacing w:before="120" w:after="120"/>
            </w:pPr>
            <w:r>
              <w:rPr>
                <w:b w:val="0"/>
                <w:sz w:val="22"/>
              </w:rPr>
              <w:t>23%</w:t>
            </w:r>
          </w:p>
        </w:tc>
      </w:tr>
      <w:tr>
        <w:tc>
          <w:tcPr>
            <w:tcW w:type="dxa" w:w="3744"/>
            <w:vAlign w:val="center"/>
            <w:tcBorders>
              <w:top w:val="single" w:sz="4" w:color="D9D9D9"/>
              <w:left w:val="single" w:sz="4" w:color="D9D9D9"/>
              <w:bottom w:val="single" w:sz="4" w:color="D9D9D9"/>
              <w:right w:val="single" w:sz="4" w:color="D9D9D9"/>
            </w:tcBorders>
          </w:tcPr>
          <w:p>
            <w:pPr>
              <w:spacing w:before="120" w:after="120"/>
            </w:pPr>
            <w:r>
              <w:rPr>
                <w:b w:val="0"/>
                <w:sz w:val="22"/>
              </w:rPr>
              <w:t>Cathleen Liu</w:t>
              <w:br/>
              <w:t>23084383</w:t>
            </w:r>
          </w:p>
        </w:tc>
        <w:tc>
          <w:tcPr>
            <w:tcW w:type="dxa" w:w="3024"/>
            <w:vAlign w:val="center"/>
            <w:tcBorders>
              <w:top w:val="single" w:sz="4" w:color="D9D9D9"/>
              <w:left w:val="single" w:sz="4" w:color="D9D9D9"/>
              <w:bottom w:val="single" w:sz="4" w:color="D9D9D9"/>
              <w:right w:val="single" w:sz="4" w:color="D9D9D9"/>
            </w:tcBorders>
          </w:tcPr>
          <w:p>
            <w:pPr>
              <w:spacing w:before="120" w:after="120"/>
            </w:pPr>
            <w:r>
              <w:rPr>
                <w:b w:val="0"/>
                <w:sz w:val="22"/>
              </w:rPr>
              <w:t>Activities 6-8</w:t>
            </w:r>
          </w:p>
        </w:tc>
        <w:tc>
          <w:tcPr>
            <w:tcW w:type="dxa" w:w="2304"/>
            <w:vAlign w:val="center"/>
            <w:tcBorders>
              <w:top w:val="single" w:sz="4" w:color="D9D9D9"/>
              <w:left w:val="single" w:sz="4" w:color="D9D9D9"/>
              <w:bottom w:val="single" w:sz="4" w:color="D9D9D9"/>
              <w:right w:val="single" w:sz="4" w:color="D9D9D9"/>
            </w:tcBorders>
          </w:tcPr>
          <w:p>
            <w:pPr>
              <w:spacing w:before="120" w:after="120"/>
            </w:pPr>
            <w:r>
              <w:rPr>
                <w:b w:val="0"/>
                <w:sz w:val="22"/>
              </w:rPr>
              <w:t>25%</w:t>
            </w:r>
          </w:p>
        </w:tc>
      </w:tr>
    </w:tbl>
    <w:p>
      <w:r>
        <w:t>These ranges refer to business activities 1-16, listed on the following page, rather than the Workshop product backlog PB01-PB20. The agreed percentages total 100% and are not calculated from activity counts or estimates.</w:t>
      </w:r>
    </w:p>
    <w:p>
      <w:r>
        <w:t>The first-owner and second-owner assignments in Parts 3-7 remain the plan for review, fixes and handovers. They do not replace the authorship above. Authorship does not change the recorded acceptance results or imply that unresolved criteria have passed.</w:t>
      </w:r>
    </w:p>
    <w:p>
      <w:r>
        <w:br w:type="page"/>
      </w:r>
    </w:p>
    <w:p>
      <w:pPr>
        <w:pStyle w:val="Heading1"/>
      </w:pPr>
      <w:r>
        <w:t>Business activities and authorship</w:t>
      </w:r>
    </w:p>
    <w:p>
      <w:r>
        <w:t>Each named author wrote the related BPMN, SD/SR, Worker implementation and strategic-model portions for the activities below.</w:t>
      </w:r>
    </w:p>
    <w:p>
      <w:pPr>
        <w:pStyle w:val="Heading2"/>
      </w:pPr>
      <w:r>
        <w:t>Xinran Zhang activities 1 to 5</w:t>
      </w:r>
    </w:p>
    <w:p>
      <w:pPr>
        <w:spacing w:after="80"/>
      </w:pPr>
      <w:r>
        <w:rPr>
          <w:sz w:val="20"/>
        </w:rPr>
        <w:t>1. Receive referrals, check supporting documents and request missing information.</w:t>
      </w:r>
    </w:p>
    <w:p>
      <w:pPr>
        <w:spacing w:after="80"/>
      </w:pPr>
      <w:r>
        <w:rPr>
          <w:sz w:val="20"/>
        </w:rPr>
        <w:t>2. Review referrals clinically and accept, reject, redirect or request more information.</w:t>
      </w:r>
    </w:p>
    <w:p>
      <w:pPr>
        <w:spacing w:after="80"/>
      </w:pPr>
      <w:r>
        <w:rPr>
          <w:sz w:val="20"/>
        </w:rPr>
        <w:t>3. Book new-patient appointments, contact patients and record contact outcomes.</w:t>
      </w:r>
    </w:p>
    <w:p>
      <w:pPr>
        <w:spacing w:after="80"/>
      </w:pPr>
      <w:r>
        <w:rPr>
          <w:sz w:val="20"/>
        </w:rPr>
        <w:t>4. Conduct consultations, diagnose, discuss treatment, record consent and authorise treatment requests.</w:t>
      </w:r>
    </w:p>
    <w:p>
      <w:pPr>
        <w:spacing w:after="80"/>
      </w:pPr>
      <w:r>
        <w:rPr>
          <w:sz w:val="20"/>
        </w:rPr>
        <w:t>5. Coordinate treatment and chemotherapy bookings, resources and external services.</w:t>
      </w:r>
    </w:p>
    <w:p>
      <w:pPr>
        <w:pStyle w:val="Heading2"/>
      </w:pPr>
      <w:r>
        <w:t>Cathleen Liu activities 6 to 8</w:t>
      </w:r>
    </w:p>
    <w:p>
      <w:pPr>
        <w:spacing w:after="80"/>
      </w:pPr>
      <w:r>
        <w:rPr>
          <w:sz w:val="20"/>
        </w:rPr>
        <w:t>6. Check funding eligibility, obtain funding approval and determine applicable charges.</w:t>
      </w:r>
    </w:p>
    <w:p>
      <w:pPr>
        <w:spacing w:after="80"/>
      </w:pPr>
      <w:r>
        <w:rPr>
          <w:sz w:val="20"/>
        </w:rPr>
        <w:t>7. Request payments, record outcomes and investigate failed, duplicate or unconfirmed transactions.</w:t>
      </w:r>
    </w:p>
    <w:p>
      <w:pPr>
        <w:spacing w:after="80"/>
      </w:pPr>
      <w:r>
        <w:rPr>
          <w:sz w:val="20"/>
        </w:rPr>
        <w:t>8. Deliver treatment, arrange tests and reviews, and assess fitness for further cycles.</w:t>
      </w:r>
    </w:p>
    <w:p>
      <w:pPr>
        <w:pStyle w:val="Heading2"/>
      </w:pPr>
      <w:r>
        <w:t>Songjie Qiu activities 9 to 13</w:t>
      </w:r>
    </w:p>
    <w:p>
      <w:pPr>
        <w:spacing w:after="80"/>
      </w:pPr>
      <w:r>
        <w:rPr>
          <w:sz w:val="20"/>
        </w:rPr>
        <w:t>9. Authorise and manage treatment changes, postponements and urgent exceptions.</w:t>
      </w:r>
    </w:p>
    <w:p>
      <w:pPr>
        <w:spacing w:after="80"/>
      </w:pPr>
      <w:r>
        <w:rPr>
          <w:sz w:val="20"/>
        </w:rPr>
        <w:t>10. Manage cancellations, declined appointments and non-attendance, including clinical review.</w:t>
      </w:r>
    </w:p>
    <w:p>
      <w:pPr>
        <w:spacing w:after="80"/>
      </w:pPr>
      <w:r>
        <w:rPr>
          <w:sz w:val="20"/>
        </w:rPr>
        <w:t>11. Review payment transfers and approve, process and record refunds.</w:t>
      </w:r>
    </w:p>
    <w:p>
      <w:pPr>
        <w:spacing w:after="80"/>
      </w:pPr>
      <w:r>
        <w:rPr>
          <w:sz w:val="20"/>
        </w:rPr>
        <w:t>12. Record, classify, prioritise, route and resolve patient enquiries.</w:t>
      </w:r>
    </w:p>
    <w:p>
      <w:pPr>
        <w:spacing w:after="80"/>
      </w:pPr>
      <w:r>
        <w:rPr>
          <w:sz w:val="20"/>
        </w:rPr>
        <w:t>13. Prepare, approve, check and distribute clinic letters; monitor delays and escalate them.</w:t>
      </w:r>
    </w:p>
    <w:p>
      <w:pPr>
        <w:pStyle w:val="Heading2"/>
      </w:pPr>
      <w:r>
        <w:t>Chenyu Yang activities 14 to 16</w:t>
      </w:r>
    </w:p>
    <w:p>
      <w:pPr>
        <w:spacing w:after="80"/>
      </w:pPr>
      <w:r>
        <w:rPr>
          <w:sz w:val="20"/>
        </w:rPr>
        <w:t>14. Request and book follow-up appointments and communicate arrangements.</w:t>
      </w:r>
    </w:p>
    <w:p>
      <w:pPr>
        <w:spacing w:after="80"/>
      </w:pPr>
      <w:r>
        <w:rPr>
          <w:sz w:val="20"/>
        </w:rPr>
        <w:t>15. Monitor patient pathways and produce operational and financial reports.</w:t>
      </w:r>
    </w:p>
    <w:p>
      <w:pPr>
        <w:spacing w:after="80"/>
      </w:pPr>
      <w:r>
        <w:rPr>
          <w:sz w:val="20"/>
        </w:rPr>
        <w:t>16. Maintain patient identity and records, control access, preserve audit trails and manage service outages.</w:t>
      </w:r>
    </w:p>
    <w:sectPr w:rsidR="00FC693F" w:rsidRPr="0006063C" w:rsidSect="00034616">
      <w:footerReference w:type="default" r:id="rId9"/>
      <w:headerReference w:type="default" r:id="rId10"/>
      <w:pgSz w:w="12240" w:h="15840"/>
      <w:pgMar w:top="936" w:right="1008" w:bottom="936" w:left="1008"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Version 2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20" w:before="20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Agile Workshop for Hospital Patient Pathway Version 2</dc:title>
  <dc:subject>Project plan and sprint backlog aligned to version2 baseline 1402859</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