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center"/>
      </w:pPr>
      <w:r>
        <w:rPr>
          <w:rFonts w:ascii="Arial" w:cs="Arial" w:eastAsia="Arial" w:hAnsi="Arial"/>
          <w:b/>
          <w:bCs/>
          <w:color w:val="1B3A5C"/>
          <w:sz w:val="44"/>
          <w:szCs w:val="44"/>
        </w:rPr>
        <w:t xml:space="preserve">Use Case 4: Sales Forecasting</w:t>
      </w:r>
    </w:p>
    <w:p>
      <w:pPr>
        <w:spacing w:after="80"/>
        <w:jc w:val="center"/>
      </w:pPr>
      <w:r>
        <w:rPr>
          <w:rFonts w:ascii="Arial" w:cs="Arial" w:eastAsia="Arial" w:hAnsi="Arial"/>
          <w:color w:val="2E75B6"/>
          <w:sz w:val="32"/>
          <w:szCs w:val="32"/>
        </w:rPr>
        <w:t xml:space="preserve">Audit Summary &amp; Remediation</w:t>
      </w:r>
    </w:p>
    <w:p>
      <w:pPr>
        <w:spacing w:after="400"/>
        <w:jc w:val="center"/>
      </w:pPr>
      <w:r>
        <w:rPr>
          <w:rFonts w:ascii="Arial" w:cs="Arial" w:eastAsia="Arial" w:hAnsi="Arial"/>
          <w:color w:val="888888"/>
          <w:sz w:val="20"/>
          <w:szCs w:val="20"/>
        </w:rPr>
        <w:t xml:space="preserve">March 22, 2026 — Compass Data for Club Piscine</w:t>
      </w:r>
    </w:p>
    <w:p>
      <w:pPr>
        <w:pStyle w:val="Heading1"/>
      </w:pPr>
      <w:r>
        <w:t xml:space="preserve">1. What Was the Problem</w:t>
      </w:r>
    </w:p>
    <w:p>
      <w:pPr>
        <w:spacing w:after="120"/>
      </w:pPr>
      <w:r>
        <w:t xml:space="preserve">The Use Case 4 forecasting pipeline was built to predict weekly unit sales across all 42 Club Piscine stores and 11 active product divisions. The goal was to feed these forecasts into Power BI dashboards for franchisees, enabling inventory planning, staffing, and purchasing decisions.</w:t>
      </w:r>
    </w:p>
    <w:p>
      <w:pPr>
        <w:spacing w:after="120"/>
      </w:pPr>
      <w:r>
        <w:rPr>
          <w:b/>
          <w:bCs/>
        </w:rPr>
        <w:t xml:space="preserve">The core issue: </w:t>
      </w:r>
      <w:r>
        <w:t xml:space="preserve">the model was only forecasting one division out of eleven. A threshold bug in Notebook 04 (the main forecasting notebook) meant that 86% of the business received no forecast at all.</w:t>
      </w:r>
    </w:p>
    <w:p>
      <w:pPr>
        <w:pStyle w:val="Heading2"/>
      </w:pPr>
      <w:r>
        <w:t xml:space="preserve">The Threshold Bug</w:t>
      </w:r>
    </w:p>
    <w:p>
      <w:pPr>
        <w:spacing w:after="120"/>
      </w:pPr>
      <w:r>
        <w:t xml:space="preserve">The tier assignment code in NB04 Cell 6 used a variable called </w:t>
      </w:r>
      <w:r>
        <w:rPr>
          <w:i/>
          <w:iCs/>
        </w:rPr>
        <w:t xml:space="preserve">avg_sales</w:t>
      </w:r>
      <w:r>
        <w:t xml:space="preserve"> computed from </w:t>
      </w:r>
      <w:r>
        <w:rPr>
          <w:i/>
          <w:iCs/>
        </w:rPr>
        <w:t xml:space="preserve">('units', 'mean')</w:t>
      </w:r>
      <w:r>
        <w:t xml:space="preserve"> with a threshold of 500. The misleading variable name suggested dollars, but it was actually </w:t>
      </w:r>
      <w:r>
        <w:rPr>
          <w:b/>
          <w:bCs/>
        </w:rPr>
        <w:t xml:space="preserve">units per week</w:t>
      </w:r>
      <w:r>
        <w:t xml:space="preserve">. Only one division—PC (Produit Chimique / pool chemicals)—sells 500+ units per week because chemicals are low-cost, high-frequency items ($23 average price). Every other division (spas at $9,600, pools at $2,500, gazebos at $1,200, furniture at $230) sells far fewer units but at far higher prices.</w:t>
      </w:r>
    </w:p>
    <w:p>
      <w:pPr>
        <w:pStyle w:val="Heading2"/>
      </w:pPr>
      <w:r>
        <w:t xml:space="preserve">Impact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Metric</w:t>
            </w:r>
          </w:p>
        </w:tc>
        <w:tc>
          <w:tcPr>
            <w:tcW w:type="dxa" w:w="312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Old (NB04)</w:t>
            </w:r>
          </w:p>
        </w:tc>
        <w:tc>
          <w:tcPr>
            <w:tcW w:type="dxa" w:w="312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Actual Need</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Divisions forecasted</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CC0000"/>
                <w:sz w:val="20"/>
                <w:szCs w:val="20"/>
              </w:rPr>
              <w:t xml:space="preserve">1 of 11 (PC only)</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8800"/>
                <w:sz w:val="20"/>
                <w:szCs w:val="20"/>
              </w:rPr>
              <w:t xml:space="preserve">All 11</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333333"/>
                <w:sz w:val="20"/>
                <w:szCs w:val="20"/>
              </w:rPr>
              <w:t xml:space="preserve">Store×Division groups</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CC0000"/>
                <w:sz w:val="20"/>
                <w:szCs w:val="20"/>
              </w:rPr>
              <w:t xml:space="preserve">17 groups</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8800"/>
                <w:sz w:val="20"/>
                <w:szCs w:val="20"/>
              </w:rPr>
              <w:t xml:space="preserve">287 groups</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Revenue coverage</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CC0000"/>
                <w:sz w:val="20"/>
                <w:szCs w:val="20"/>
              </w:rPr>
              <w:t xml:space="preserve">14.4%</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8800"/>
                <w:sz w:val="20"/>
                <w:szCs w:val="20"/>
              </w:rPr>
              <w:t xml:space="preserve">100%</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333333"/>
                <w:sz w:val="20"/>
                <w:szCs w:val="20"/>
              </w:rPr>
              <w:t xml:space="preserve">Revenue forecasted</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CC0000"/>
                <w:sz w:val="20"/>
                <w:szCs w:val="20"/>
              </w:rPr>
              <w:t xml:space="preserve">Missing: $45M/yr</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8800"/>
                <w:sz w:val="20"/>
                <w:szCs w:val="20"/>
              </w:rPr>
              <w:t xml:space="preserve">Missing: None</w:t>
            </w:r>
          </w:p>
        </w:tc>
      </w:tr>
    </w:tbl>
    <w:p>
      <w:pPr>
        <w:spacing w:after="120" w:before="120"/>
      </w:pPr>
      <w:r>
        <w:t xml:space="preserve">Additionally, the pipeline had </w:t>
      </w:r>
      <w:r>
        <w:rPr>
          <w:b/>
          <w:bCs/>
        </w:rPr>
        <w:t xml:space="preserve">no revenue forecasting layer</w:t>
      </w:r>
      <w:r>
        <w:t xml:space="preserve">—it produced unit forecasts only, despite the client requiring both units and revenue predictions.</w:t>
      </w:r>
    </w:p>
    <w:p>
      <w:r>
        <w:br w:type="page"/>
      </w:r>
    </w:p>
    <w:p>
      <w:pPr>
        <w:pStyle w:val="Heading1"/>
      </w:pPr>
      <w:r>
        <w:t xml:space="preserve">2. What We Did</w:t>
      </w:r>
    </w:p>
    <w:p>
      <w:pPr>
        <w:pStyle w:val="Heading2"/>
      </w:pPr>
      <w:r>
        <w:t xml:space="preserve">Step 1: Comprehensive Audit</w:t>
      </w:r>
    </w:p>
    <w:p>
      <w:pPr>
        <w:spacing w:after="120"/>
      </w:pPr>
      <w:r>
        <w:t xml:space="preserve">We deployed a multi-agent audit across the entire NB00–NB08 pipeline. Every notebook was inspected for correctness, data flow, and alignment with the client’s 10 use case requirements.</w:t>
      </w:r>
    </w:p>
    <w:p>
      <w:pPr>
        <w:spacing w:after="80"/>
      </w:pPr>
      <w:r>
        <w:rPr>
          <w:b/>
          <w:bCs/>
        </w:rPr>
        <w:t xml:space="preserve">Key findings beyond the threshold bug:</w:t>
      </w:r>
    </w:p>
    <w:p>
      <w:pPr>
        <w:pStyle w:val="ListParagraph"/>
        <w:numPr>
          <w:ilvl w:val="0"/>
          <w:numId w:val="2"/>
        </w:numPr>
        <w:spacing w:after="60"/>
      </w:pPr>
      <w:r>
        <w:rPr>
          <w:b/>
          <w:bCs/>
        </w:rPr>
        <w:t xml:space="preserve">NB03 cells 6–10 had never been executed</w:t>
      </w:r>
      <w:r>
        <w:t xml:space="preserve">—features went from 36 to 57 columns after re-running, meaning the model had been training without 21 engineered features (weather interactions, lag variables, seasonal indicators).</w:t>
      </w:r>
    </w:p>
    <w:p>
      <w:pPr>
        <w:pStyle w:val="ListParagraph"/>
        <w:numPr>
          <w:ilvl w:val="0"/>
          <w:numId w:val="2"/>
        </w:numPr>
        <w:spacing w:after="60"/>
      </w:pPr>
      <w:r>
        <w:rPr>
          <w:b/>
          <w:bCs/>
        </w:rPr>
        <w:t xml:space="preserve">Inventory gap analysis was non-functional</w:t>
      </w:r>
      <w:r>
        <w:t xml:space="preserve">—81% zeros because the sample inventory file only covers 5 of 42 stores. Needs a full NAV/ERP export.</w:t>
      </w:r>
    </w:p>
    <w:p>
      <w:pPr>
        <w:pStyle w:val="ListParagraph"/>
        <w:numPr>
          <w:ilvl w:val="0"/>
          <w:numId w:val="2"/>
        </w:numPr>
        <w:spacing w:after="60"/>
      </w:pPr>
      <w:r>
        <w:rPr>
          <w:b/>
          <w:bCs/>
        </w:rPr>
        <w:t xml:space="preserve">No confidence intervals</w:t>
      </w:r>
      <w:r>
        <w:t xml:space="preserve">—required for safety stock calculations but never implemented.</w:t>
      </w:r>
    </w:p>
    <w:p>
      <w:pPr>
        <w:pStyle w:val="ListParagraph"/>
        <w:numPr>
          <w:ilvl w:val="0"/>
          <w:numId w:val="2"/>
        </w:numPr>
        <w:spacing w:after="120"/>
      </w:pPr>
      <w:r>
        <w:rPr>
          <w:b/>
          <w:bCs/>
        </w:rPr>
        <w:t xml:space="preserve">Only 4 of 10 use case requirements were met</w:t>
      </w:r>
      <w:r>
        <w:t xml:space="preserve">: unit forecasting (partial), weather integration, weekly granularity, and basic model training. Missing: revenue forecasting, store-level dashboards, inventory optimization, confidence intervals, multi-division coverage, and Power BI integration.</w:t>
      </w:r>
    </w:p>
    <w:p>
      <w:pPr>
        <w:pStyle w:val="Heading2"/>
      </w:pPr>
      <w:r>
        <w:t xml:space="preserve">Step 2: Exploratory Data Analysis (NB01)</w:t>
      </w:r>
    </w:p>
    <w:p>
      <w:pPr>
        <w:spacing w:after="120"/>
      </w:pPr>
      <w:r>
        <w:t xml:space="preserve">Rather than picking an arbitrary new threshold, we added 12 new analysis cells to NB01 to let the data tell us where the natural breakpoints are. This analysis covered:</w:t>
      </w:r>
    </w:p>
    <w:p>
      <w:pPr>
        <w:pStyle w:val="ListParagraph"/>
        <w:numPr>
          <w:ilvl w:val="0"/>
          <w:numId w:val="2"/>
        </w:numPr>
        <w:spacing w:after="60"/>
      </w:pPr>
      <w:r>
        <w:rPr>
          <w:b/>
          <w:bCs/>
        </w:rPr>
        <w:t xml:space="preserve">Division overview table</w:t>
      </w:r>
      <w:r>
        <w:t xml:space="preserve">: average units/week, median, zero-week rate, average selling price, share of total units and revenue for all 11 active divisions.</w:t>
      </w:r>
    </w:p>
    <w:p>
      <w:pPr>
        <w:pStyle w:val="ListParagraph"/>
        <w:numPr>
          <w:ilvl w:val="0"/>
          <w:numId w:val="2"/>
        </w:numPr>
        <w:spacing w:after="60"/>
      </w:pPr>
      <w:r>
        <w:rPr>
          <w:b/>
          <w:bCs/>
        </w:rPr>
        <w:t xml:space="preserve">Volume percentile distribution</w:t>
      </w:r>
      <w:r>
        <w:t xml:space="preserve">: histogram of all 287 store×division groups showing a clear bimodal pattern with a natural break at ~20 units/week.</w:t>
      </w:r>
    </w:p>
    <w:p>
      <w:pPr>
        <w:pStyle w:val="ListParagraph"/>
        <w:numPr>
          <w:ilvl w:val="0"/>
          <w:numId w:val="2"/>
        </w:numPr>
        <w:spacing w:after="60"/>
      </w:pPr>
      <w:r>
        <w:rPr>
          <w:b/>
          <w:bCs/>
        </w:rPr>
        <w:t xml:space="preserve">Threshold sweep</w:t>
      </w:r>
      <w:r>
        <w:t xml:space="preserve">: systematic evaluation of every cutoff from 1 to 500 units/week, showing how many groups, units, and revenue each threshold captures. This is where the 500-threshold problem became starkly visible—only 14.4% of revenue at 500 u/w vs 41.5% at 20 u/w.</w:t>
      </w:r>
    </w:p>
    <w:p>
      <w:pPr>
        <w:pStyle w:val="ListParagraph"/>
        <w:numPr>
          <w:ilvl w:val="0"/>
          <w:numId w:val="2"/>
        </w:numPr>
        <w:spacing w:after="60"/>
      </w:pPr>
      <w:r>
        <w:rPr>
          <w:b/>
          <w:bCs/>
        </w:rPr>
        <w:t xml:space="preserve">Demand classification (Syntetos-Boylan)</w:t>
      </w:r>
      <w:r>
        <w:t xml:space="preserve">: categorized all 287 groups into Smooth, Erratic, Intermittent, and Lumpy demand patterns using Average Demand Interval (ADI) and Coefficient of Variation (CV²).</w:t>
      </w:r>
    </w:p>
    <w:p>
      <w:pPr>
        <w:pStyle w:val="ListParagraph"/>
        <w:numPr>
          <w:ilvl w:val="0"/>
          <w:numId w:val="2"/>
        </w:numPr>
        <w:spacing w:after="120"/>
      </w:pPr>
      <w:r>
        <w:rPr>
          <w:b/>
          <w:bCs/>
        </w:rPr>
        <w:t xml:space="preserve">Data-driven tier recommendation</w:t>
      </w:r>
      <w:r>
        <w:t xml:space="preserve">: final tier assignment with stacked bar visualizations showing composition by division.</w:t>
      </w:r>
    </w:p>
    <w:p>
      <w:pPr>
        <w:pStyle w:val="Heading2"/>
      </w:pPr>
      <w:r>
        <w:t xml:space="preserve">Step 3: 2-Tier Forecasting Strategy</w:t>
      </w:r>
    </w:p>
    <w:p>
      <w:pPr>
        <w:spacing w:after="120"/>
      </w:pPr>
      <w:r>
        <w:t xml:space="preserve">Based on the EDA, we defined a clean 2-tier model with a single data-driven threshold of 20 units/week: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1560"/>
        <w:gridCol w:w="1560"/>
        <w:gridCol w:w="1560"/>
        <w:gridCol w:w="1560"/>
        <w:gridCol w:w="1560"/>
      </w:tblGrid>
      <w:tr>
        <w:tc>
          <w:tcPr>
            <w:tcW w:type="dxa" w:w="15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Tier</w:t>
            </w:r>
          </w:p>
        </w:tc>
        <w:tc>
          <w:tcPr>
            <w:tcW w:type="dxa" w:w="15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Threshold</w:t>
            </w:r>
          </w:p>
        </w:tc>
        <w:tc>
          <w:tcPr>
            <w:tcW w:type="dxa" w:w="15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Groups</w:t>
            </w:r>
          </w:p>
        </w:tc>
        <w:tc>
          <w:tcPr>
            <w:tcW w:type="dxa" w:w="15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 Units</w:t>
            </w:r>
          </w:p>
        </w:tc>
        <w:tc>
          <w:tcPr>
            <w:tcW w:type="dxa" w:w="15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 Revenue</w:t>
            </w:r>
          </w:p>
        </w:tc>
        <w:tc>
          <w:tcPr>
            <w:tcW w:type="dxa" w:w="15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Model</w:t>
            </w:r>
          </w:p>
        </w:tc>
      </w:tr>
      <w:tr>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Tier 1</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≥20 u/w</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78 (27%)</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95.1%</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41.5%</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8800"/>
                <w:sz w:val="20"/>
                <w:szCs w:val="20"/>
              </w:rPr>
              <w:t xml:space="preserve">XGBoost</w:t>
            </w:r>
          </w:p>
        </w:tc>
      </w:tr>
      <w:tr>
        <w:tc>
          <w:tcPr>
            <w:tcW w:type="dxa" w:w="1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333333"/>
                <w:sz w:val="20"/>
                <w:szCs w:val="20"/>
              </w:rPr>
              <w:t xml:space="preserve">Tier 2</w:t>
            </w:r>
          </w:p>
        </w:tc>
        <w:tc>
          <w:tcPr>
            <w:tcW w:type="dxa" w:w="1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333333"/>
                <w:sz w:val="20"/>
                <w:szCs w:val="20"/>
              </w:rPr>
              <w:t xml:space="preserve">&lt;20 u/w</w:t>
            </w:r>
          </w:p>
        </w:tc>
        <w:tc>
          <w:tcPr>
            <w:tcW w:type="dxa" w:w="1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333333"/>
                <w:sz w:val="20"/>
                <w:szCs w:val="20"/>
              </w:rPr>
              <w:t xml:space="preserve">209 (73%)</w:t>
            </w:r>
          </w:p>
        </w:tc>
        <w:tc>
          <w:tcPr>
            <w:tcW w:type="dxa" w:w="1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333333"/>
                <w:sz w:val="20"/>
                <w:szCs w:val="20"/>
              </w:rPr>
              <w:t xml:space="preserve">4.9%</w:t>
            </w:r>
          </w:p>
        </w:tc>
        <w:tc>
          <w:tcPr>
            <w:tcW w:type="dxa" w:w="1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333333"/>
                <w:sz w:val="20"/>
                <w:szCs w:val="20"/>
              </w:rPr>
              <w:t xml:space="preserve">58.5%</w:t>
            </w:r>
          </w:p>
        </w:tc>
        <w:tc>
          <w:tcPr>
            <w:tcW w:type="dxa" w:w="1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CC8800"/>
                <w:sz w:val="20"/>
                <w:szCs w:val="20"/>
              </w:rPr>
              <w:t xml:space="preserve">Seasonal Naive</w:t>
            </w:r>
          </w:p>
        </w:tc>
      </w:tr>
      <w:tr>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Total</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287 (100%)</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100%</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100%</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
            </w:r>
          </w:p>
        </w:tc>
      </w:tr>
    </w:tbl>
    <w:p>
      <w:pPr>
        <w:spacing w:after="80" w:before="160"/>
      </w:pPr>
      <w:r>
        <w:rPr>
          <w:b/>
          <w:bCs/>
        </w:rPr>
        <w:t xml:space="preserve">Why 2 tiers, not 3: </w:t>
      </w:r>
      <w:r>
        <w:t xml:space="preserve">An earlier iteration proposed a third tier (Croston’s/TSB for intermittent demand under 3 u/w). This covered only 41 groups with 0.2% of units and 10% of revenue. The added model complexity wasn’t justified—Seasonal Naive handles these low-volume, high-value items (spas, specialty equipment) adequately without overfitting risk.</w:t>
      </w:r>
    </w:p>
    <w:p>
      <w:pPr>
        <w:spacing w:after="120"/>
      </w:pPr>
      <w:r>
        <w:rPr>
          <w:b/>
          <w:bCs/>
        </w:rPr>
        <w:t xml:space="preserve">Why Tier 2 at 58.5% of revenue is correct: </w:t>
      </w:r>
      <w:r>
        <w:t xml:space="preserve">Tier 2 contains the high-value, low-frequency divisions—Spas ($9,600/unit), Gazebos ($1,200/unit), Chauffage ($2,200/unit), Piscines hors-terre ($2,500/unit). A store selling 3 spas per week generates $28,800/week in revenue. These items are inherently low-volume and highly seasonal. Seasonal Naive (same-week-last-year) is a strong baseline because their buying pattern is driven by season, not by complex feature interactions.</w:t>
      </w:r>
    </w:p>
    <w:p>
      <w:r>
        <w:br w:type="page"/>
      </w:r>
    </w:p>
    <w:p>
      <w:pPr>
        <w:pStyle w:val="Heading1"/>
      </w:pPr>
      <w:r>
        <w:t xml:space="preserve">3. Forecasting Granularity</w:t>
      </w:r>
    </w:p>
    <w:p>
      <w:pPr>
        <w:spacing w:after="120"/>
      </w:pPr>
      <w:r>
        <w:t xml:space="preserve">The data supports three granularity levels. We confirmed that </w:t>
      </w:r>
      <w:r>
        <w:rPr>
          <w:b/>
          <w:bCs/>
        </w:rPr>
        <w:t xml:space="preserve">Store × Division</w:t>
      </w:r>
      <w:r>
        <w:t xml:space="preserve"> is the correct primary forecasting level: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800"/>
        <w:gridCol w:w="1800"/>
        <w:gridCol w:w="1800"/>
        <w:gridCol w:w="2160"/>
      </w:tblGrid>
      <w:tr>
        <w:tc>
          <w:tcPr>
            <w:tcW w:type="dxa" w:w="18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Level</w:t>
            </w:r>
          </w:p>
        </w:tc>
        <w:tc>
          <w:tcPr>
            <w:tcW w:type="dxa" w:w="18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Per Store</w:t>
            </w:r>
          </w:p>
        </w:tc>
        <w:tc>
          <w:tcPr>
            <w:tcW w:type="dxa" w:w="18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Total (×33)</w:t>
            </w:r>
          </w:p>
        </w:tc>
        <w:tc>
          <w:tcPr>
            <w:tcW w:type="dxa" w:w="18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Data Density</w:t>
            </w:r>
          </w:p>
        </w:tc>
        <w:tc>
          <w:tcPr>
            <w:tcW w:type="dxa" w:w="21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Verdict</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Division</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11</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~363</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8800"/>
                <w:sz w:val="20"/>
                <w:szCs w:val="20"/>
              </w:rPr>
              <w:t xml:space="preserve">Dense</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008800"/>
                <w:sz w:val="20"/>
                <w:szCs w:val="20"/>
              </w:rPr>
              <w:t xml:space="preserve">Primary forecast</w:t>
            </w:r>
          </w:p>
        </w:tc>
      </w:tr>
      <w:tr>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333333"/>
                <w:sz w:val="20"/>
                <w:szCs w:val="20"/>
              </w:rPr>
              <w:t xml:space="preserve">Category</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333333"/>
                <w:sz w:val="20"/>
                <w:szCs w:val="20"/>
              </w:rPr>
              <w:t xml:space="preserve">~75</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333333"/>
                <w:sz w:val="20"/>
                <w:szCs w:val="20"/>
              </w:rPr>
              <w:t xml:space="preserve">~2,475</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CC8800"/>
                <w:sz w:val="20"/>
                <w:szCs w:val="20"/>
              </w:rPr>
              <w:t xml:space="preserve">Medium</w:t>
            </w:r>
          </w:p>
        </w:tc>
        <w:tc>
          <w:tcPr>
            <w:tcW w:type="dxa" w:w="2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333333"/>
                <w:sz w:val="20"/>
                <w:szCs w:val="20"/>
              </w:rPr>
              <w:t xml:space="preserve">Phase 2 drill-down</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Article (SKU)</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~2,500</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~83,000</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CC0000"/>
                <w:sz w:val="20"/>
                <w:szCs w:val="20"/>
              </w:rPr>
              <w:t xml:space="preserve">Extremely sparse</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CC0000"/>
                <w:sz w:val="20"/>
                <w:szCs w:val="20"/>
              </w:rPr>
              <w:t xml:space="preserve">Not viable</w:t>
            </w:r>
          </w:p>
        </w:tc>
      </w:tr>
    </w:tbl>
    <w:p>
      <w:pPr>
        <w:spacing w:after="120" w:before="120"/>
      </w:pPr>
      <w:r>
        <w:t xml:space="preserve">Article-level forecasting is not feasible: 83,000 store×article combinations with 125 weeks of history means most series have fewer than 5 non-zero observations. For individual SKU planning, the industry approach is top-down disaggregation—forecast at division level, then allocate proportionally by each article’s historical share.</w:t>
      </w:r>
    </w:p>
    <w:p>
      <w:pPr>
        <w:pStyle w:val="Heading1"/>
      </w:pPr>
      <w:r>
        <w:t xml:space="preserve">4. Data Overview</w:t>
      </w:r>
    </w:p>
    <w:p>
      <w:pPr>
        <w:spacing w:after="80"/>
      </w:pPr>
      <w:r>
        <w:rPr>
          <w:b/>
          <w:bCs/>
        </w:rPr>
        <w:t xml:space="preserve">The 11 active divisions confirmed by the client: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2800"/>
        <w:gridCol w:w="1400"/>
        <w:gridCol w:w="1400"/>
        <w:gridCol w:w="1400"/>
        <w:gridCol w:w="1360"/>
      </w:tblGrid>
      <w:tr>
        <w:tc>
          <w:tcPr>
            <w:tcW w:type="dxa" w:w="10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Code</w:t>
            </w:r>
          </w:p>
        </w:tc>
        <w:tc>
          <w:tcPr>
            <w:tcW w:type="dxa" w:w="28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Division</w:t>
            </w:r>
          </w:p>
        </w:tc>
        <w:tc>
          <w:tcPr>
            <w:tcW w:type="dxa" w:w="14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Avg $/Unit</w:t>
            </w:r>
          </w:p>
        </w:tc>
        <w:tc>
          <w:tcPr>
            <w:tcW w:type="dxa" w:w="14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Tier</w:t>
            </w:r>
          </w:p>
        </w:tc>
        <w:tc>
          <w:tcPr>
            <w:tcW w:type="dxa" w:w="14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Groups</w:t>
            </w:r>
          </w:p>
        </w:tc>
        <w:tc>
          <w:tcPr>
            <w:tcW w:type="dxa" w:w="13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Nature</w:t>
            </w:r>
          </w:p>
        </w:tc>
      </w:tr>
      <w:tr>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SP</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Spa</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$9,630</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Mostly 2</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26</w:t>
            </w:r>
          </w:p>
        </w:tc>
        <w:tc>
          <w:tcPr>
            <w:tcW w:type="dxa" w:w="1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Low-vol, high-$</w:t>
            </w:r>
          </w:p>
        </w:tc>
      </w:tr>
      <w:tr>
        <w:tc>
          <w:tcPr>
            <w:tcW w:type="dxa" w:w="1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333333"/>
                <w:sz w:val="20"/>
                <w:szCs w:val="20"/>
              </w:rPr>
              <w:t xml:space="preserve">HT</w:t>
            </w:r>
          </w:p>
        </w:tc>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333333"/>
                <w:sz w:val="20"/>
                <w:szCs w:val="20"/>
              </w:rPr>
              <w:t xml:space="preserve">Piscine hors-terre</w:t>
            </w:r>
          </w:p>
        </w:tc>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333333"/>
                <w:sz w:val="20"/>
                <w:szCs w:val="20"/>
              </w:rPr>
              <w:t xml:space="preserve">$2,560</w:t>
            </w:r>
          </w:p>
        </w:tc>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333333"/>
                <w:sz w:val="20"/>
                <w:szCs w:val="20"/>
              </w:rPr>
              <w:t xml:space="preserve">Mixed</w:t>
            </w:r>
          </w:p>
        </w:tc>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333333"/>
                <w:sz w:val="20"/>
                <w:szCs w:val="20"/>
              </w:rPr>
              <w:t xml:space="preserve">26</w:t>
            </w:r>
          </w:p>
        </w:tc>
        <w:tc>
          <w:tcPr>
            <w:tcW w:type="dxa" w:w="1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333333"/>
                <w:sz w:val="20"/>
                <w:szCs w:val="20"/>
              </w:rPr>
              <w:t xml:space="preserve">Seasonal big-ticket</w:t>
            </w:r>
          </w:p>
        </w:tc>
      </w:tr>
      <w:tr>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CH</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Chauffage/Thermo.</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$2,197</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All 2</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26</w:t>
            </w:r>
          </w:p>
        </w:tc>
        <w:tc>
          <w:tcPr>
            <w:tcW w:type="dxa" w:w="1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Low-vol, high-$</w:t>
            </w:r>
          </w:p>
        </w:tc>
      </w:tr>
      <w:tr>
        <w:tc>
          <w:tcPr>
            <w:tcW w:type="dxa" w:w="1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333333"/>
                <w:sz w:val="20"/>
                <w:szCs w:val="20"/>
              </w:rPr>
              <w:t xml:space="preserve">GA</w:t>
            </w:r>
          </w:p>
        </w:tc>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333333"/>
                <w:sz w:val="20"/>
                <w:szCs w:val="20"/>
              </w:rPr>
              <w:t xml:space="preserve">Gazebo et Abri</w:t>
            </w:r>
          </w:p>
        </w:tc>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333333"/>
                <w:sz w:val="20"/>
                <w:szCs w:val="20"/>
              </w:rPr>
              <w:t xml:space="preserve">$1,277</w:t>
            </w:r>
          </w:p>
        </w:tc>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333333"/>
                <w:sz w:val="20"/>
                <w:szCs w:val="20"/>
              </w:rPr>
              <w:t xml:space="preserve">Mostly 2</w:t>
            </w:r>
          </w:p>
        </w:tc>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333333"/>
                <w:sz w:val="20"/>
                <w:szCs w:val="20"/>
              </w:rPr>
              <w:t xml:space="preserve">26</w:t>
            </w:r>
          </w:p>
        </w:tc>
        <w:tc>
          <w:tcPr>
            <w:tcW w:type="dxa" w:w="1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333333"/>
                <w:sz w:val="20"/>
                <w:szCs w:val="20"/>
              </w:rPr>
              <w:t xml:space="preserve">Seasonal big-ticket</w:t>
            </w:r>
          </w:p>
        </w:tc>
      </w:tr>
      <w:tr>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TO</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Toile de piscine</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$838</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Mostly 2</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26</w:t>
            </w:r>
          </w:p>
        </w:tc>
        <w:tc>
          <w:tcPr>
            <w:tcW w:type="dxa" w:w="1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Seasonal</w:t>
            </w:r>
          </w:p>
        </w:tc>
      </w:tr>
      <w:tr>
        <w:tc>
          <w:tcPr>
            <w:tcW w:type="dxa" w:w="1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333333"/>
                <w:sz w:val="20"/>
                <w:szCs w:val="20"/>
              </w:rPr>
              <w:t xml:space="preserve">FI</w:t>
            </w:r>
          </w:p>
        </w:tc>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333333"/>
                <w:sz w:val="20"/>
                <w:szCs w:val="20"/>
              </w:rPr>
              <w:t xml:space="preserve">Fitness</w:t>
            </w:r>
          </w:p>
        </w:tc>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333333"/>
                <w:sz w:val="20"/>
                <w:szCs w:val="20"/>
              </w:rPr>
              <w:t xml:space="preserve">$436</w:t>
            </w:r>
          </w:p>
        </w:tc>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333333"/>
                <w:sz w:val="20"/>
                <w:szCs w:val="20"/>
              </w:rPr>
              <w:t xml:space="preserve">All 2</w:t>
            </w:r>
          </w:p>
        </w:tc>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333333"/>
                <w:sz w:val="20"/>
                <w:szCs w:val="20"/>
              </w:rPr>
              <w:t xml:space="preserve">26</w:t>
            </w:r>
          </w:p>
        </w:tc>
        <w:tc>
          <w:tcPr>
            <w:tcW w:type="dxa" w:w="1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333333"/>
                <w:sz w:val="20"/>
                <w:szCs w:val="20"/>
              </w:rPr>
              <w:t xml:space="preserve">Year-round, low-vol</w:t>
            </w:r>
          </w:p>
        </w:tc>
      </w:tr>
      <w:tr>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BQ</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BBQ</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$213</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Mostly 2</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26</w:t>
            </w:r>
          </w:p>
        </w:tc>
        <w:tc>
          <w:tcPr>
            <w:tcW w:type="dxa" w:w="1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Seasonal</w:t>
            </w:r>
          </w:p>
        </w:tc>
      </w:tr>
      <w:tr>
        <w:tc>
          <w:tcPr>
            <w:tcW w:type="dxa" w:w="1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333333"/>
                <w:sz w:val="20"/>
                <w:szCs w:val="20"/>
              </w:rPr>
              <w:t xml:space="preserve">ME</w:t>
            </w:r>
          </w:p>
        </w:tc>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333333"/>
                <w:sz w:val="20"/>
                <w:szCs w:val="20"/>
              </w:rPr>
              <w:t xml:space="preserve">Meuble</w:t>
            </w:r>
          </w:p>
        </w:tc>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333333"/>
                <w:sz w:val="20"/>
                <w:szCs w:val="20"/>
              </w:rPr>
              <w:t xml:space="preserve">$232</w:t>
            </w:r>
          </w:p>
        </w:tc>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333333"/>
                <w:sz w:val="20"/>
                <w:szCs w:val="20"/>
              </w:rPr>
              <w:t xml:space="preserve">Mostly 1</w:t>
            </w:r>
          </w:p>
        </w:tc>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333333"/>
                <w:sz w:val="20"/>
                <w:szCs w:val="20"/>
              </w:rPr>
              <w:t xml:space="preserve">26</w:t>
            </w:r>
          </w:p>
        </w:tc>
        <w:tc>
          <w:tcPr>
            <w:tcW w:type="dxa" w:w="1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333333"/>
                <w:sz w:val="20"/>
                <w:szCs w:val="20"/>
              </w:rPr>
              <w:t xml:space="preserve">High-vol furniture</w:t>
            </w:r>
          </w:p>
        </w:tc>
      </w:tr>
      <w:tr>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PA</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Parasol</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$142</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Mostly 2</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26</w:t>
            </w:r>
          </w:p>
        </w:tc>
        <w:tc>
          <w:tcPr>
            <w:tcW w:type="dxa" w:w="1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Seasonal accessory</w:t>
            </w:r>
          </w:p>
        </w:tc>
      </w:tr>
      <w:tr>
        <w:tc>
          <w:tcPr>
            <w:tcW w:type="dxa" w:w="1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333333"/>
                <w:sz w:val="20"/>
                <w:szCs w:val="20"/>
              </w:rPr>
              <w:t xml:space="preserve">PC</w:t>
            </w:r>
          </w:p>
        </w:tc>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333333"/>
                <w:sz w:val="20"/>
                <w:szCs w:val="20"/>
              </w:rPr>
              <w:t xml:space="preserve">Produit chimique</w:t>
            </w:r>
          </w:p>
        </w:tc>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333333"/>
                <w:sz w:val="20"/>
                <w:szCs w:val="20"/>
              </w:rPr>
              <w:t xml:space="preserve">$23</w:t>
            </w:r>
          </w:p>
        </w:tc>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333333"/>
                <w:sz w:val="20"/>
                <w:szCs w:val="20"/>
              </w:rPr>
              <w:t xml:space="preserve">All 1</w:t>
            </w:r>
          </w:p>
        </w:tc>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333333"/>
                <w:sz w:val="20"/>
                <w:szCs w:val="20"/>
              </w:rPr>
              <w:t xml:space="preserve">27</w:t>
            </w:r>
          </w:p>
        </w:tc>
        <w:tc>
          <w:tcPr>
            <w:tcW w:type="dxa" w:w="1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333333"/>
                <w:sz w:val="20"/>
                <w:szCs w:val="20"/>
              </w:rPr>
              <w:t xml:space="preserve">High-vol consumable</w:t>
            </w:r>
          </w:p>
        </w:tc>
      </w:tr>
      <w:tr>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LO</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Loisir</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$14</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Mostly 1</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26</w:t>
            </w:r>
          </w:p>
        </w:tc>
        <w:tc>
          <w:tcPr>
            <w:tcW w:type="dxa" w:w="1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High-vol low-$</w:t>
            </w:r>
          </w:p>
        </w:tc>
      </w:tr>
    </w:tbl>
    <w:p>
      <w:pPr>
        <w:pStyle w:val="Heading1"/>
        <w:spacing w:before="300"/>
      </w:pPr>
      <w:r>
        <w:t xml:space="preserve">5. Remaining Work</w:t>
      </w:r>
    </w:p>
    <w:p>
      <w:pPr>
        <w:pStyle w:val="ListParagraph"/>
        <w:numPr>
          <w:ilvl w:val="0"/>
          <w:numId w:val="3"/>
        </w:numPr>
        <w:spacing w:after="60"/>
      </w:pPr>
      <w:r>
        <w:rPr>
          <w:b/>
          <w:bCs/>
        </w:rPr>
        <w:t xml:space="preserve">Rebuild NB05 with 2-tier strategy: </w:t>
      </w:r>
      <w:r>
        <w:t xml:space="preserve">Route 78 Tier 1 groups to XGBoost (with all 57 features), 209 Tier 2 groups to Seasonal Naive. Add revenue layer (Units × Historical ASP with 3-tier lookup).</w:t>
      </w:r>
    </w:p>
    <w:p>
      <w:pPr>
        <w:pStyle w:val="ListParagraph"/>
        <w:numPr>
          <w:ilvl w:val="0"/>
          <w:numId w:val="3"/>
        </w:numPr>
        <w:spacing w:after="60"/>
      </w:pPr>
      <w:r>
        <w:rPr>
          <w:b/>
          <w:bCs/>
        </w:rPr>
        <w:t xml:space="preserve">Confidence intervals: </w:t>
      </w:r>
      <w:r>
        <w:t xml:space="preserve">Required for inventory safety stock calculations. Quantile regression or bootstrap prediction intervals.</w:t>
      </w:r>
    </w:p>
    <w:p>
      <w:pPr>
        <w:pStyle w:val="ListParagraph"/>
        <w:numPr>
          <w:ilvl w:val="0"/>
          <w:numId w:val="3"/>
        </w:numPr>
        <w:spacing w:after="60"/>
      </w:pPr>
      <w:r>
        <w:rPr>
          <w:b/>
          <w:bCs/>
        </w:rPr>
        <w:t xml:space="preserve">Inventory gap analysis: </w:t>
      </w:r>
      <w:r>
        <w:t xml:space="preserve">Needs full NAV/ERP inventory export across all 42 stores (current sample file covers only 5 stores).</w:t>
      </w:r>
    </w:p>
    <w:p>
      <w:pPr>
        <w:pStyle w:val="ListParagraph"/>
        <w:numPr>
          <w:ilvl w:val="0"/>
          <w:numId w:val="3"/>
        </w:numPr>
        <w:spacing w:after="60"/>
      </w:pPr>
      <w:r>
        <w:rPr>
          <w:b/>
          <w:bCs/>
        </w:rPr>
        <w:t xml:space="preserve">Power BI integration: </w:t>
      </w:r>
      <w:r>
        <w:t xml:space="preserve">Forecast outputs need to be formatted for dashboard consumption with store-level drill-down.</w:t>
      </w:r>
    </w:p>
    <w:p>
      <w:pPr>
        <w:pStyle w:val="ListParagraph"/>
        <w:numPr>
          <w:ilvl w:val="0"/>
          <w:numId w:val="3"/>
        </w:numPr>
        <w:spacing w:after="120"/>
      </w:pPr>
      <w:r>
        <w:rPr>
          <w:b/>
          <w:bCs/>
        </w:rPr>
        <w:t xml:space="preserve">Model validation on weekly data: </w:t>
      </w:r>
      <w:r>
        <w:t xml:space="preserve">156 weekly observations exist but were aggregated to monthly in the MMM use case. Weekly data should improve XGBoost accuracy for Tier 1 groups.</w:t>
      </w:r>
    </w:p>
    <w:p>
      <w:pPr>
        <w:pBdr>
          <w:top w:val="single" w:color="1B3A5C" w:sz="6" w:space="8"/>
        </w:pBdr>
        <w:spacing w:before="200"/>
      </w:pPr>
      <w:r>
        <w:rPr>
          <w:b/>
          <w:bCs/>
          <w:color w:val="1B3A5C"/>
        </w:rPr>
        <w:t xml:space="preserve">Bottom line: </w:t>
      </w:r>
      <w:r>
        <w:rPr>
          <w:color w:val="1B3A5C"/>
        </w:rPr>
        <w:t xml:space="preserve">The pipeline was forecasting pool chemicals and calling it done. With the corrected 2-tier strategy, all 287 store×division groups across all 11 active divisions will receive forecasts—covering 100% of revenue instead of 14.4%.</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space="1"/>
      </w:pBdr>
      <w:jc w:val="right"/>
    </w:pPr>
    <w:r>
      <w:rPr>
        <w:rFonts w:ascii="Arial" w:cs="Arial" w:eastAsia="Arial" w:hAnsi="Arial"/>
        <w:color w:val="888888"/>
        <w:sz w:val="16"/>
        <w:szCs w:val="16"/>
      </w:rPr>
      <w:t xml:space="preserve">Page </w:t>
    </w:r>
    <w:r>
      <w:rPr>
        <w:rFonts w:ascii="Arial" w:cs="Arial" w:eastAsia="Arial" w:hAnsi="Arial"/>
        <w:color w:val="88888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B3A5C" w:sz="6" w:space="1"/>
      </w:pBdr>
      <w:spacing w:after="120"/>
    </w:pPr>
    <w:r>
      <w:rPr>
        <w:rFonts w:ascii="Arial" w:cs="Arial" w:eastAsia="Arial" w:hAnsi="Arial"/>
        <w:color w:val="888888"/>
        <w:sz w:val="18"/>
        <w:szCs w:val="18"/>
      </w:rPr>
      <w:t xml:space="preserve">Club Piscine — Use Case 4 Forecasting</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B3A5C"/>
      <w:sz w:val="32"/>
      <w:szCs w:val="32"/>
    </w:rPr>
  </w:style>
  <w:style w:type="paragraph" w:styleId="Heading2">
    <w:name w:val="Heading 2"/>
    <w:basedOn w:val="Normal"/>
    <w:next w:val="Normal"/>
    <w:qFormat/>
    <w:pPr>
      <w:spacing w:after="120" w:before="240"/>
      <w:outlineLvl w:val="1"/>
    </w:pPr>
    <w:rPr>
      <w:rFonts w:ascii="Arial" w:cs="Arial" w:eastAsia="Arial" w:hAnsi="Arial"/>
      <w:b/>
      <w:bCs/>
      <w:color w:val="2E75B6"/>
      <w:sz w:val="26"/>
      <w:szCs w:val="26"/>
    </w:rPr>
  </w:style>
  <w:style w:type="paragraph" w:styleId="Heading3">
    <w:name w:val="Heading 3"/>
    <w:basedOn w:val="Normal"/>
    <w:next w:val="Normal"/>
    <w:qFormat/>
    <w:pPr>
      <w:spacing w:after="100" w:before="200"/>
      <w:outlineLvl w:val="2"/>
    </w:pPr>
    <w:rPr>
      <w:rFonts w:ascii="Arial" w:cs="Arial" w:eastAsia="Arial" w:hAnsi="Arial"/>
      <w:b/>
      <w:bCs/>
      <w:color w:val="444444"/>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2026-03-22T17:41:29.368Z</dcterms:created>
  <dcterms:modified xsi:type="dcterms:W3CDTF">2026-03-22T17:41:29.369Z</dcterms:modified>
</cp:coreProperties>
</file>

<file path=docProps/custom.xml><?xml version="1.0" encoding="utf-8"?>
<Properties xmlns="http://schemas.openxmlformats.org/officeDocument/2006/custom-properties" xmlns:vt="http://schemas.openxmlformats.org/officeDocument/2006/docPropsVTypes"/>
</file>