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595959"/>
          <w:sz w:val="28"/>
          <w:szCs w:val="28"/>
        </w:rPr>
        <w:t xml:space="preserve">NOTEBOOK 06C</w:t>
      </w:r>
    </w:p>
    <w:p>
      <w:pPr>
        <w:spacing w:after="200"/>
        <w:jc w:val="center"/>
      </w:pPr>
      <w:r>
        <w:rPr>
          <w:rFonts w:ascii="Arial" w:cs="Arial" w:eastAsia="Arial" w:hAnsi="Arial"/>
          <w:b/>
          <w:bCs/>
          <w:color w:val="2E5090"/>
          <w:sz w:val="52"/>
          <w:szCs w:val="52"/>
        </w:rPr>
        <w:t xml:space="preserve">Multi-Agent Technical Review</w:t>
      </w:r>
    </w:p>
    <w:p>
      <w:pPr>
        <w:spacing w:after="400"/>
        <w:jc w:val="center"/>
      </w:pPr>
      <w:r>
        <w:rPr>
          <w:rFonts w:ascii="Arial" w:cs="Arial" w:eastAsia="Arial" w:hAnsi="Arial"/>
          <w:color w:val="595959"/>
          <w:sz w:val="28"/>
          <w:szCs w:val="28"/>
        </w:rPr>
        <w:t xml:space="preserve">Marketing Mix Model — Base Model Evaluation</w:t>
      </w:r>
    </w:p>
    <w:p>
      <w:pPr>
        <w:jc w:val="center"/>
      </w:pPr>
      <w:r>
        <w:rPr>
          <w:rFonts w:ascii="Arial" w:cs="Arial" w:eastAsia="Arial" w:hAnsi="Arial"/>
          <w:color w:val="595959"/>
          <w:sz w:val="22"/>
          <w:szCs w:val="22"/>
        </w:rPr>
        <w:t xml:space="preserve">Club Piscine • Quebec, Canada • 42 Stores</w:t>
      </w:r>
    </w:p>
    <w:p>
      <w:pPr>
        <w:spacing w:after="200"/>
        <w:jc w:val="center"/>
      </w:pPr>
      <w:r>
        <w:rPr>
          <w:rFonts w:ascii="Arial" w:cs="Arial" w:eastAsia="Arial" w:hAnsi="Arial"/>
          <w:color w:val="595959"/>
          <w:sz w:val="20"/>
          <w:szCs w:val="20"/>
        </w:rPr>
        <w:t xml:space="preserve">$512M Revenue • $10.3M Media Spend • 36 Monthly Observations</w:t>
      </w:r>
    </w:p>
    <w:p>
      <w:pPr>
        <w:spacing w:before="1200"/>
      </w:pPr>
    </w:p>
    <w:p>
      <w:pPr>
        <w:pBdr>
          <w:top w:val="single" w:color="2E5090" w:sz="6" w:space="8"/>
        </w:pBdr>
        <w:spacing w:after="100" w:before="200"/>
        <w:jc w:val="center"/>
      </w:pPr>
      <w:r>
        <w:rPr>
          <w:rFonts w:ascii="Arial" w:cs="Arial" w:eastAsia="Arial" w:hAnsi="Arial"/>
          <w:color w:val="595959"/>
          <w:sz w:val="20"/>
          <w:szCs w:val="20"/>
        </w:rPr>
        <w:t xml:space="preserve">Prepared by: 6-Agent Specialist Review Team</w:t>
      </w:r>
    </w:p>
    <w:p>
      <w:pPr>
        <w:jc w:val="center"/>
      </w:pPr>
      <w:r>
        <w:rPr>
          <w:rFonts w:ascii="Arial" w:cs="Arial" w:eastAsia="Arial" w:hAnsi="Arial"/>
          <w:i/>
          <w:iCs/>
          <w:color w:val="595959"/>
          <w:sz w:val="18"/>
          <w:szCs w:val="18"/>
        </w:rPr>
        <w:t xml:space="preserve">ML/Econometrics • Causal Inference • Time Series • Media Science • Data Engineering • Client Strategy</w:t>
      </w:r>
    </w:p>
    <w:p>
      <w:pPr>
        <w:spacing w:after="200"/>
        <w:jc w:val="center"/>
      </w:pPr>
      <w:r>
        <w:rPr>
          <w:rFonts w:ascii="Arial" w:cs="Arial" w:eastAsia="Arial" w:hAnsi="Arial"/>
          <w:color w:val="595959"/>
          <w:sz w:val="20"/>
          <w:szCs w:val="20"/>
        </w:rPr>
        <w:t xml:space="preserve">March 2026</w:t>
      </w:r>
    </w:p>
    <w:r>
      <w:br w:type="page"/>
    </w:r>
    <w:p>
      <w:pPr>
        <w:pStyle w:val="Heading1"/>
        <w:spacing w:after="160" w:before="360"/>
      </w:pPr>
      <w:r>
        <w:rPr>
          <w:rFonts w:ascii="Arial" w:cs="Arial" w:eastAsia="Arial" w:hAnsi="Arial"/>
          <w:b/>
          <w:bCs/>
          <w:color w:val="2E5090"/>
          <w:sz w:val="32"/>
          <w:szCs w:val="32"/>
        </w:rPr>
        <w:t xml:space="preserve">Executive Summary</w:t>
      </w:r>
    </w:p>
    <w:p>
      <w:pPr>
        <w:spacing w:after="120"/>
      </w:pPr>
      <w:r>
        <w:rPr>
          <w:rFonts w:ascii="Arial" w:cs="Arial" w:eastAsia="Arial" w:hAnsi="Arial"/>
          <w:b/>
          <w:bCs/>
          <w:color w:val="548235"/>
          <w:sz w:val="24"/>
          <w:szCs w:val="24"/>
        </w:rPr>
        <w:t xml:space="preserve">Overall Grade: B+ </w:t>
      </w:r>
      <w:r>
        <w:rPr>
          <w:rFonts w:ascii="Arial" w:cs="Arial" w:eastAsia="Arial" w:hAnsi="Arial"/>
          <w:color w:val="595959"/>
          <w:sz w:val="20"/>
          <w:szCs w:val="20"/>
        </w:rPr>
        <w:t xml:space="preserve">(Solid model with fixable issues — ready for client after targeted improvements)</w:t>
      </w:r>
    </w:p>
    <w:p>
      <w:pPr>
        <w:spacing w:after="120"/>
      </w:pPr>
    </w:p>
    <w:p>
      <w:pPr>
        <w:spacing w:after="120"/>
      </w:pPr>
      <w:r>
        <w:rPr>
          <w:rFonts w:ascii="Arial" w:cs="Arial" w:eastAsia="Arial" w:hAnsi="Arial"/>
          <w:color w:val="595959"/>
          <w:sz w:val="20"/>
          <w:szCs w:val="20"/>
        </w:rPr>
        <w:t xml:space="preserve">The 06C base model is fundamentally sound. The two-stage Frisch-Waugh-Lovell decomposition, Ridge regularization, adstock/saturation transformations, and coefficient back-transformation are all mathematically correct. The model captures 88.5% of revenue variance, with media explaining approximately 9.8% of $512M in revenue ($50M) from $10.3M in spend.</w:t>
      </w:r>
    </w:p>
    <w:p>
      <w:pPr>
        <w:spacing w:after="120"/>
      </w:pPr>
      <w:r>
        <w:rPr>
          <w:rFonts w:ascii="Arial" w:cs="Arial" w:eastAsia="Arial" w:hAnsi="Arial"/>
          <w:color w:val="595959"/>
          <w:sz w:val="20"/>
          <w:szCs w:val="20"/>
        </w:rPr>
        <w:t xml:space="preserve">Six specialist agents reviewed the model across ML methodology, causal inference, time series, media science, data enrichment, and client presentation strategy. Below is the consensus: what works, what needs fixing, and what quick wins can be captured before the client meeting.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c>
          <w:tcPr>
            <w:tcW w:type="dxa" w:w="5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Interpretation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Combined R²</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0.885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88.5% of revenue variance explained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Stage 1 R² (Seasonality)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0.849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Season + weather baseline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Stage 2 R² (Media)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0.240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Media explains 24% of residual variance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Media Contribution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9.83%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$50.4M attributed to media (3Y)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Overall Media ROAS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4.9x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$1 in media generates $4.90 revenue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Channels Significant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1 of 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Only TV passes 90% CI test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Ridge Alpha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25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Selected via elbow method on CV MAE</w:t>
            </w:r>
          </w:p>
        </w:tc>
      </w:tr>
    </w:tbl>
    <w:r>
      <w:br w:type="page"/>
    </w:r>
    <w:p>
      <w:pPr>
        <w:pStyle w:val="Heading1"/>
        <w:spacing w:after="160" w:before="360"/>
      </w:pPr>
      <w:r>
        <w:rPr>
          <w:rFonts w:ascii="Arial" w:cs="Arial" w:eastAsia="Arial" w:hAnsi="Arial"/>
          <w:b/>
          <w:bCs/>
          <w:color w:val="2E5090"/>
          <w:sz w:val="32"/>
          <w:szCs w:val="32"/>
        </w:rPr>
        <w:t xml:space="preserve">Channel ROAS Results</w:t>
      </w:r>
    </w:p>
    <w:p>
      <w:pPr>
        <w:spacing w:after="120"/>
      </w:pPr>
      <w:r>
        <w:rPr>
          <w:rFonts w:ascii="Arial" w:cs="Arial" w:eastAsia="Arial" w:hAnsi="Arial"/>
          <w:color w:val="595959"/>
          <w:sz w:val="20"/>
          <w:szCs w:val="20"/>
        </w:rPr>
        <w:t xml:space="preserve">The table below shows per-channel ROAS estimates with 90% bootstrap confidence intervals (1,000 resamples). Only Television achieves statistical significance (CI excludes zero). Point estimates for digital channels are positive and plausible, but wide confidence intervals reflect limited statistical power.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000"/>
        <w:gridCol w:w="1800"/>
        <w:gridCol w:w="1000"/>
        <w:gridCol w:w="26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Channel</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3Y Spend</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ROAS</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90% CI</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w:t>
            </w:r>
          </w:p>
        </w:tc>
        <w:tc>
          <w:tcPr>
            <w:tcW w:type="dxa" w:w="26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Assessment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Television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$3.95M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5.85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[1.67, 7.77]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YES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595959"/>
                <w:sz w:val="17"/>
                <w:szCs w:val="17"/>
              </w:rPr>
              <w:t xml:space="preserve">Robust, brand-building proven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Radio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$2.17M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-7.06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[-11.5, 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595959"/>
                <w:sz w:val="17"/>
                <w:szCs w:val="17"/>
              </w:rPr>
              <w:t xml:space="preserve">Timing confound, not true negative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Panneaux (DOOH)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$0.29M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10.24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[-8.2, 23.2]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595959"/>
                <w:sz w:val="17"/>
                <w:szCs w:val="17"/>
              </w:rPr>
              <w:t xml:space="preserve">Small spend, wide CI expected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Social Media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$0.83M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10.95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[-26.0, 40.4]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595959"/>
                <w:sz w:val="17"/>
                <w:szCs w:val="17"/>
              </w:rPr>
              <w:t xml:space="preserve">Positive signal, imprecise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Preroll (Video)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$0.90M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17.78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[-4.5, 33.7]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595959"/>
                <w:sz w:val="17"/>
                <w:szCs w:val="17"/>
              </w:rPr>
              <w:t xml:space="preserve">Highest potential, underinvested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Web Banners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$0.83M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13.75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[-9.8, 35.5]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595959"/>
                <w:sz w:val="17"/>
                <w:szCs w:val="17"/>
              </w:rPr>
              <w:t xml:space="preserve">Promising, mid-funnel role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Digital Flyers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$0.45M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6.97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[-24.0, 41.6]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595959"/>
                <w:sz w:val="17"/>
                <w:szCs w:val="17"/>
              </w:rPr>
              <w:t xml:space="preserve">Conversion driver, modest ROAS</w:t>
            </w:r>
          </w:p>
        </w:tc>
      </w:tr>
    </w:tbl>
    <w:r>
      <w:br w:type="page"/>
    </w:r>
    <w:p>
      <w:pPr>
        <w:pStyle w:val="Heading1"/>
        <w:spacing w:after="160" w:before="360"/>
      </w:pPr>
      <w:r>
        <w:rPr>
          <w:rFonts w:ascii="Arial" w:cs="Arial" w:eastAsia="Arial" w:hAnsi="Arial"/>
          <w:b/>
          <w:bCs/>
          <w:color w:val="2E5090"/>
          <w:sz w:val="32"/>
          <w:szCs w:val="32"/>
        </w:rPr>
        <w:t xml:space="preserve">Consolidated Findings by Severity</w:t>
      </w:r>
    </w:p>
    <w:p>
      <w:pPr>
        <w:spacing w:after="120"/>
      </w:pPr>
      <w:r>
        <w:rPr>
          <w:rFonts w:ascii="Arial" w:cs="Arial" w:eastAsia="Arial" w:hAnsi="Arial"/>
          <w:color w:val="595959"/>
          <w:sz w:val="20"/>
          <w:szCs w:val="20"/>
        </w:rPr>
        <w:t xml:space="preserve">All six agents’ findings are consolidated below, deduplicated and ranked by severity. Each finding includes the source agent(s), the issue, the recommended fix, estimated effort, and expected impact.</w:t>
      </w:r>
    </w:p>
    <w:p>
      <w:pPr>
        <w:spacing w:after="120"/>
      </w:pPr>
    </w:p>
    <w:p>
      <w:pPr>
        <w:pStyle w:val="Heading2"/>
        <w:spacing w:after="160" w:before="240"/>
      </w:pPr>
      <w:r>
        <w:rPr>
          <w:rFonts w:ascii="Arial" w:cs="Arial" w:eastAsia="Arial" w:hAnsi="Arial"/>
          <w:b/>
          <w:bCs/>
          <w:color w:val="2E5090"/>
          <w:sz w:val="26"/>
          <w:szCs w:val="26"/>
        </w:rPr>
        <w:t xml:space="preserve">Critical Issues (Must Fix Before Client)</w:t>
      </w:r>
    </w:p>
    <w:p>
      <w:pPr>
        <w:spacing w:after="120"/>
      </w:pPr>
      <w:r>
        <w:rPr>
          <w:rFonts w:ascii="Arial" w:cs="Arial" w:eastAsia="Arial" w:hAnsi="Arial"/>
          <w:b/>
          <w:bCs/>
          <w:color w:val="C00000"/>
          <w:sz w:val="22"/>
          <w:szCs w:val="22"/>
        </w:rPr>
        <w:t xml:space="preserve">1. Bootstrap Method Invalid for Time Series</w:t>
      </w:r>
    </w:p>
    <w:p>
      <w:pPr>
        <w:spacing w:after="120"/>
      </w:pPr>
      <w:r>
        <w:rPr>
          <w:rFonts w:ascii="Arial" w:cs="Arial" w:eastAsia="Arial" w:hAnsi="Arial"/>
          <w:b/>
          <w:bCs/>
          <w:color w:val="595959"/>
          <w:sz w:val="18"/>
          <w:szCs w:val="18"/>
        </w:rPr>
        <w:t xml:space="preserve">Agents: </w:t>
      </w:r>
      <w:r>
        <w:rPr>
          <w:rFonts w:ascii="Arial" w:cs="Arial" w:eastAsia="Arial" w:hAnsi="Arial"/>
          <w:i/>
          <w:iCs/>
          <w:color w:val="595959"/>
          <w:sz w:val="18"/>
          <w:szCs w:val="18"/>
        </w:rPr>
        <w:t xml:space="preserve">ML/Econometrics, Causal Inference</w:t>
      </w:r>
    </w:p>
    <w:p>
      <w:pPr>
        <w:spacing w:after="120"/>
      </w:pPr>
      <w:r>
        <w:rPr>
          <w:rFonts w:ascii="Arial" w:cs="Arial" w:eastAsia="Arial" w:hAnsi="Arial"/>
          <w:color w:val="595959"/>
          <w:sz w:val="20"/>
          <w:szCs w:val="20"/>
        </w:rPr>
        <w:t xml:space="preserve">The current bootstrap uses np.random.choice(n, replace=True) which resamples months randomly, breaking temporal autocorrelation. This produces confidence intervals that are likely too narrow (understating true uncertainty). With n=36 monthly observations that have strong seasonal patterns, independence assumptions are violated.</w:t>
      </w:r>
    </w:p>
    <w:p>
      <w:pPr>
        <w:spacing w:after="120"/>
      </w:pPr>
      <w:r>
        <w:rPr>
          <w:rFonts w:ascii="Arial" w:cs="Arial" w:eastAsia="Arial" w:hAnsi="Arial"/>
          <w:b/>
          <w:bCs/>
          <w:color w:val="000000"/>
          <w:sz w:val="20"/>
          <w:szCs w:val="20"/>
        </w:rPr>
        <w:t xml:space="preserve">Fix: </w:t>
      </w:r>
      <w:r>
        <w:rPr>
          <w:rFonts w:ascii="Arial" w:cs="Arial" w:eastAsia="Arial" w:hAnsi="Arial"/>
          <w:color w:val="595959"/>
          <w:sz w:val="20"/>
          <w:szCs w:val="20"/>
        </w:rPr>
        <w:t xml:space="preserve">Implement block bootstrap with 3-month blocks. Sample consecutive blocks with replacement, then reconstitute the time series. This preserves quarterly seasonality structure while still providing valid confidence intervals.</w:t>
      </w:r>
    </w:p>
    <w:p>
      <w:pPr>
        <w:spacing w:after="120"/>
      </w:pPr>
      <w:r>
        <w:rPr>
          <w:rFonts w:ascii="Arial" w:cs="Arial" w:eastAsia="Arial" w:hAnsi="Arial"/>
          <w:b/>
          <w:bCs/>
          <w:color w:val="000000"/>
          <w:sz w:val="20"/>
          <w:szCs w:val="20"/>
        </w:rPr>
        <w:t xml:space="preserve">Effort: </w:t>
      </w:r>
      <w:r>
        <w:rPr>
          <w:rFonts w:ascii="Arial" w:cs="Arial" w:eastAsia="Arial" w:hAnsi="Arial"/>
          <w:color w:val="595959"/>
          <w:sz w:val="20"/>
          <w:szCs w:val="20"/>
        </w:rPr>
        <w:t xml:space="preserve">1–2 hours  |  </w:t>
      </w:r>
    </w:p>
    <w:p>
      <w:pPr>
        <w:spacing w:after="120"/>
      </w:pPr>
      <w:r>
        <w:rPr>
          <w:rFonts w:ascii="Arial" w:cs="Arial" w:eastAsia="Arial" w:hAnsi="Arial"/>
          <w:b/>
          <w:bCs/>
          <w:color w:val="000000"/>
          <w:sz w:val="20"/>
          <w:szCs w:val="20"/>
        </w:rPr>
        <w:t xml:space="preserve">Impact: </w:t>
      </w:r>
      <w:r>
        <w:rPr>
          <w:rFonts w:ascii="Arial" w:cs="Arial" w:eastAsia="Arial" w:hAnsi="Arial"/>
          <w:color w:val="595959"/>
          <w:sz w:val="20"/>
          <w:szCs w:val="20"/>
        </w:rPr>
        <w:t xml:space="preserve">CIs widen by 15–25%, becoming more honest. Point estimates unchanged. TV may still remain significant. Transparency improves credibility with sophisticated clients.</w:t>
      </w:r>
    </w:p>
    <w:p>
      <w:pPr>
        <w:spacing w:after="120"/>
      </w:pPr>
    </w:p>
    <w:p>
      <w:pPr>
        <w:spacing w:after="120"/>
      </w:pPr>
      <w:r>
        <w:rPr>
          <w:rFonts w:ascii="Arial" w:cs="Arial" w:eastAsia="Arial" w:hAnsi="Arial"/>
          <w:b/>
          <w:bCs/>
          <w:color w:val="C00000"/>
          <w:sz w:val="22"/>
          <w:szCs w:val="22"/>
        </w:rPr>
        <w:t xml:space="preserve">2. Weather Features Use Raw Values Instead of Deviations</w:t>
      </w:r>
    </w:p>
    <w:p>
      <w:pPr>
        <w:spacing w:after="120"/>
      </w:pPr>
      <w:r>
        <w:rPr>
          <w:rFonts w:ascii="Arial" w:cs="Arial" w:eastAsia="Arial" w:hAnsi="Arial"/>
          <w:b/>
          <w:bCs/>
          <w:color w:val="595959"/>
          <w:sz w:val="18"/>
          <w:szCs w:val="18"/>
        </w:rPr>
        <w:t xml:space="preserve">Agent: </w:t>
      </w:r>
      <w:r>
        <w:rPr>
          <w:rFonts w:ascii="Arial" w:cs="Arial" w:eastAsia="Arial" w:hAnsi="Arial"/>
          <w:i/>
          <w:iCs/>
          <w:color w:val="595959"/>
          <w:sz w:val="18"/>
          <w:szCs w:val="18"/>
        </w:rPr>
        <w:t xml:space="preserve">Time Series/Seasonality</w:t>
      </w:r>
    </w:p>
    <w:p>
      <w:pPr>
        <w:spacing w:after="120"/>
      </w:pPr>
      <w:r>
        <w:rPr>
          <w:rFonts w:ascii="Arial" w:cs="Arial" w:eastAsia="Arial" w:hAnsi="Arial"/>
          <w:color w:val="595959"/>
          <w:sz w:val="20"/>
          <w:szCs w:val="20"/>
        </w:rPr>
        <w:t xml:space="preserve">Notebook 05 (Feature Engineering) already solved weather–Fourier multicollinearity by using weather deviations from monthly norms. However, 06c uses raw avg_temp_mean and total_precipitation, reintroducing VIF of approximately 30 between temperature and Fourier cos_1. This undermines Stage 1 coefficient interpretability.</w:t>
      </w:r>
    </w:p>
    <w:p>
      <w:pPr>
        <w:spacing w:after="120"/>
      </w:pPr>
      <w:r>
        <w:rPr>
          <w:rFonts w:ascii="Arial" w:cs="Arial" w:eastAsia="Arial" w:hAnsi="Arial"/>
          <w:b/>
          <w:bCs/>
          <w:color w:val="000000"/>
          <w:sz w:val="20"/>
          <w:szCs w:val="20"/>
        </w:rPr>
        <w:t xml:space="preserve">Fix: </w:t>
      </w:r>
      <w:r>
        <w:rPr>
          <w:rFonts w:ascii="Arial" w:cs="Arial" w:eastAsia="Arial" w:hAnsi="Arial"/>
          <w:color w:val="595959"/>
          <w:sz w:val="20"/>
          <w:szCs w:val="20"/>
        </w:rPr>
        <w:t xml:space="preserve">Replace raw weather values with deviations from monthly averages: temp_dev = (observed – monthly_mean) / std. This captures “unusually warm/cold” months beyond the regular Fourier cycle.</w:t>
      </w:r>
    </w:p>
    <w:p>
      <w:pPr>
        <w:spacing w:after="120"/>
      </w:pPr>
      <w:r>
        <w:rPr>
          <w:rFonts w:ascii="Arial" w:cs="Arial" w:eastAsia="Arial" w:hAnsi="Arial"/>
          <w:b/>
          <w:bCs/>
          <w:color w:val="000000"/>
          <w:sz w:val="20"/>
          <w:szCs w:val="20"/>
        </w:rPr>
        <w:t xml:space="preserve">Effort: </w:t>
      </w:r>
      <w:r>
        <w:rPr>
          <w:rFonts w:ascii="Arial" w:cs="Arial" w:eastAsia="Arial" w:hAnsi="Arial"/>
          <w:color w:val="595959"/>
          <w:sz w:val="20"/>
          <w:szCs w:val="20"/>
        </w:rPr>
        <w:t xml:space="preserve">10 minutes  |  </w:t>
      </w:r>
    </w:p>
    <w:p>
      <w:pPr>
        <w:spacing w:after="120"/>
      </w:pPr>
      <w:r>
        <w:rPr>
          <w:rFonts w:ascii="Arial" w:cs="Arial" w:eastAsia="Arial" w:hAnsi="Arial"/>
          <w:b/>
          <w:bCs/>
          <w:color w:val="000000"/>
          <w:sz w:val="20"/>
          <w:szCs w:val="20"/>
        </w:rPr>
        <w:t xml:space="preserve">Impact: </w:t>
      </w:r>
      <w:r>
        <w:rPr>
          <w:rFonts w:ascii="Arial" w:cs="Arial" w:eastAsia="Arial" w:hAnsi="Arial"/>
          <w:color w:val="595959"/>
          <w:sz w:val="20"/>
          <w:szCs w:val="20"/>
        </w:rPr>
        <w:t xml:space="preserve">VIF drops from ~30 to &lt;5. Stage 1 R² may shift by ±0.5%. Cleaner separation of seasonal vs. anomalous weather effects.</w:t>
      </w:r>
    </w:p>
    <w:p>
      <w:pPr>
        <w:spacing w:after="120"/>
      </w:pPr>
    </w:p>
    <w:p>
      <w:pPr>
        <w:pStyle w:val="Heading2"/>
        <w:spacing w:after="160" w:before="240"/>
      </w:pPr>
      <w:r>
        <w:rPr>
          <w:rFonts w:ascii="Arial" w:cs="Arial" w:eastAsia="Arial" w:hAnsi="Arial"/>
          <w:b/>
          <w:bCs/>
          <w:color w:val="2E5090"/>
          <w:sz w:val="26"/>
          <w:szCs w:val="26"/>
        </w:rPr>
        <w:t xml:space="preserve">Important Issues (Should Fix)</w:t>
      </w:r>
    </w:p>
    <w:p>
      <w:pPr>
        <w:spacing w:after="120"/>
      </w:pPr>
      <w:r>
        <w:rPr>
          <w:rFonts w:ascii="Arial" w:cs="Arial" w:eastAsia="Arial" w:hAnsi="Arial"/>
          <w:b/>
          <w:bCs/>
          <w:color w:val="BF8F00"/>
          <w:sz w:val="22"/>
          <w:szCs w:val="22"/>
        </w:rPr>
        <w:t xml:space="preserve">3. No Linear Trend in Stage 1</w:t>
      </w:r>
    </w:p>
    <w:p>
      <w:pPr>
        <w:spacing w:after="120"/>
      </w:pPr>
      <w:r>
        <w:rPr>
          <w:rFonts w:ascii="Arial" w:cs="Arial" w:eastAsia="Arial" w:hAnsi="Arial"/>
          <w:b/>
          <w:bCs/>
          <w:color w:val="595959"/>
          <w:sz w:val="18"/>
          <w:szCs w:val="18"/>
        </w:rPr>
        <w:t xml:space="preserve">Agents: </w:t>
      </w:r>
      <w:r>
        <w:rPr>
          <w:rFonts w:ascii="Arial" w:cs="Arial" w:eastAsia="Arial" w:hAnsi="Arial"/>
          <w:i/>
          <w:iCs/>
          <w:color w:val="595959"/>
          <w:sz w:val="18"/>
          <w:szCs w:val="18"/>
        </w:rPr>
        <w:t xml:space="preserve">Causal Inference, Time Series</w:t>
      </w:r>
    </w:p>
    <w:p>
      <w:pPr>
        <w:spacing w:after="120"/>
      </w:pPr>
      <w:r>
        <w:rPr>
          <w:rFonts w:ascii="Arial" w:cs="Arial" w:eastAsia="Arial" w:hAnsi="Arial"/>
          <w:color w:val="595959"/>
          <w:sz w:val="20"/>
          <w:szCs w:val="20"/>
        </w:rPr>
        <w:t xml:space="preserve">Over 3 fiscal years, systematic growth or decline could bias media coefficients. Without a trend term, slow-moving demand evolution gets attributed to media channels, potentially inflating ROAS for channels whose spend grew over time.</w:t>
      </w:r>
    </w:p>
    <w:p>
      <w:pPr>
        <w:spacing w:after="120"/>
      </w:pPr>
      <w:r>
        <w:rPr>
          <w:rFonts w:ascii="Arial" w:cs="Arial" w:eastAsia="Arial" w:hAnsi="Arial"/>
          <w:b/>
          <w:bCs/>
          <w:color w:val="000000"/>
          <w:sz w:val="20"/>
          <w:szCs w:val="20"/>
        </w:rPr>
        <w:t xml:space="preserve">Fix: </w:t>
      </w:r>
      <w:r>
        <w:rPr>
          <w:rFonts w:ascii="Arial" w:cs="Arial" w:eastAsia="Arial" w:hAnsi="Arial"/>
          <w:color w:val="595959"/>
          <w:sz w:val="20"/>
          <w:szCs w:val="20"/>
        </w:rPr>
        <w:t xml:space="preserve">Run a quick trend significance test (linregress). If p &lt; 0.05, add trend = t/n to Stage 1 features. This is a 5-minute diagnostic that could materially change results.</w:t>
      </w:r>
    </w:p>
    <w:p>
      <w:pPr>
        <w:spacing w:after="120"/>
      </w:pPr>
      <w:r>
        <w:rPr>
          <w:rFonts w:ascii="Arial" w:cs="Arial" w:eastAsia="Arial" w:hAnsi="Arial"/>
          <w:b/>
          <w:bCs/>
          <w:color w:val="000000"/>
          <w:sz w:val="20"/>
          <w:szCs w:val="20"/>
        </w:rPr>
        <w:t xml:space="preserve">Impact: </w:t>
      </w:r>
      <w:r>
        <w:rPr>
          <w:rFonts w:ascii="Arial" w:cs="Arial" w:eastAsia="Arial" w:hAnsi="Arial"/>
          <w:color w:val="595959"/>
          <w:sz w:val="20"/>
          <w:szCs w:val="20"/>
        </w:rPr>
        <w:t xml:space="preserve">Stabilizes media ROAS estimates by 10–15%. Reduces risk of trend-confounded channel effects.</w:t>
      </w:r>
    </w:p>
    <w:p>
      <w:pPr>
        <w:spacing w:after="120"/>
      </w:pPr>
    </w:p>
    <w:p>
      <w:pPr>
        <w:spacing w:after="120"/>
      </w:pPr>
      <w:r>
        <w:rPr>
          <w:rFonts w:ascii="Arial" w:cs="Arial" w:eastAsia="Arial" w:hAnsi="Arial"/>
          <w:b/>
          <w:bCs/>
          <w:color w:val="BF8F00"/>
          <w:sz w:val="22"/>
          <w:szCs w:val="22"/>
        </w:rPr>
        <w:t xml:space="preserve">4. Ridge Alpha Selected via Arbitrary 2% Elbow Heuristic</w:t>
      </w:r>
    </w:p>
    <w:p>
      <w:pPr>
        <w:spacing w:after="120"/>
      </w:pPr>
      <w:r>
        <w:rPr>
          <w:rFonts w:ascii="Arial" w:cs="Arial" w:eastAsia="Arial" w:hAnsi="Arial"/>
          <w:b/>
          <w:bCs/>
          <w:color w:val="595959"/>
          <w:sz w:val="18"/>
          <w:szCs w:val="18"/>
        </w:rPr>
        <w:t xml:space="preserve">Agent: </w:t>
      </w:r>
      <w:r>
        <w:rPr>
          <w:rFonts w:ascii="Arial" w:cs="Arial" w:eastAsia="Arial" w:hAnsi="Arial"/>
          <w:i/>
          <w:iCs/>
          <w:color w:val="595959"/>
          <w:sz w:val="18"/>
          <w:szCs w:val="18"/>
        </w:rPr>
        <w:t xml:space="preserve">ML/Econometrics</w:t>
      </w:r>
    </w:p>
    <w:p>
      <w:pPr>
        <w:spacing w:after="120"/>
      </w:pPr>
      <w:r>
        <w:rPr>
          <w:rFonts w:ascii="Arial" w:cs="Arial" w:eastAsia="Arial" w:hAnsi="Arial"/>
          <w:color w:val="595959"/>
          <w:sz w:val="20"/>
          <w:szCs w:val="20"/>
        </w:rPr>
        <w:t xml:space="preserve">Alpha=25 is selected when MAE improvement drops below 2%. This is not principled. Different alpha choices yield media contribution ranging from 8% to 11%. A more defensible approach would present the client with multiple scenarios.</w:t>
      </w:r>
    </w:p>
    <w:p>
      <w:pPr>
        <w:spacing w:after="120"/>
      </w:pPr>
      <w:r>
        <w:rPr>
          <w:rFonts w:ascii="Arial" w:cs="Arial" w:eastAsia="Arial" w:hAnsi="Arial"/>
          <w:b/>
          <w:bCs/>
          <w:color w:val="000000"/>
          <w:sz w:val="20"/>
          <w:szCs w:val="20"/>
        </w:rPr>
        <w:t xml:space="preserve">Fix: </w:t>
      </w:r>
      <w:r>
        <w:rPr>
          <w:rFonts w:ascii="Arial" w:cs="Arial" w:eastAsia="Arial" w:hAnsi="Arial"/>
          <w:color w:val="595959"/>
          <w:sz w:val="20"/>
          <w:szCs w:val="20"/>
        </w:rPr>
        <w:t xml:space="preserve">Show 3 scenarios: Conservative (BIC, alpha~10), Balanced (current, alpha=25), Signal-Preserving (GCV, alpha~1). Present as 3×7 ROAS matrix. Let client see the range.</w:t>
      </w:r>
    </w:p>
    <w:p>
      <w:pPr>
        <w:spacing w:after="120"/>
      </w:pPr>
      <w:r>
        <w:rPr>
          <w:rFonts w:ascii="Arial" w:cs="Arial" w:eastAsia="Arial" w:hAnsi="Arial"/>
          <w:b/>
          <w:bCs/>
          <w:color w:val="000000"/>
          <w:sz w:val="20"/>
          <w:szCs w:val="20"/>
        </w:rPr>
        <w:t xml:space="preserve">Impact: </w:t>
      </w:r>
      <w:r>
        <w:rPr>
          <w:rFonts w:ascii="Arial" w:cs="Arial" w:eastAsia="Arial" w:hAnsi="Arial"/>
          <w:color w:val="595959"/>
          <w:sz w:val="20"/>
          <w:szCs w:val="20"/>
        </w:rPr>
        <w:t xml:space="preserve">Increases transparency. Client can choose their risk tolerance. Adds 30 minutes but significantly boosts credibility.</w:t>
      </w:r>
    </w:p>
    <w:p>
      <w:pPr>
        <w:spacing w:after="120"/>
      </w:pPr>
    </w:p>
    <w:p>
      <w:pPr>
        <w:spacing w:after="120"/>
      </w:pPr>
      <w:r>
        <w:rPr>
          <w:rFonts w:ascii="Arial" w:cs="Arial" w:eastAsia="Arial" w:hAnsi="Arial"/>
          <w:b/>
          <w:bCs/>
          <w:color w:val="BF8F00"/>
          <w:sz w:val="22"/>
          <w:szCs w:val="22"/>
        </w:rPr>
        <w:t xml:space="preserve">5. Grid-Optimized Decay Rates May Overfit</w:t>
      </w:r>
    </w:p>
    <w:p>
      <w:pPr>
        <w:spacing w:after="120"/>
      </w:pPr>
      <w:r>
        <w:rPr>
          <w:rFonts w:ascii="Arial" w:cs="Arial" w:eastAsia="Arial" w:hAnsi="Arial"/>
          <w:b/>
          <w:bCs/>
          <w:color w:val="595959"/>
          <w:sz w:val="18"/>
          <w:szCs w:val="18"/>
        </w:rPr>
        <w:t xml:space="preserve">Agent: </w:t>
      </w:r>
      <w:r>
        <w:rPr>
          <w:rFonts w:ascii="Arial" w:cs="Arial" w:eastAsia="Arial" w:hAnsi="Arial"/>
          <w:i/>
          <w:iCs/>
          <w:color w:val="595959"/>
          <w:sz w:val="18"/>
          <w:szCs w:val="18"/>
        </w:rPr>
        <w:t xml:space="preserve">Media Science</w:t>
      </w:r>
    </w:p>
    <w:p>
      <w:pPr>
        <w:spacing w:after="120"/>
      </w:pPr>
      <w:r>
        <w:rPr>
          <w:rFonts w:ascii="Arial" w:cs="Arial" w:eastAsia="Arial" w:hAnsi="Arial"/>
          <w:color w:val="595959"/>
          <w:sz w:val="20"/>
          <w:szCs w:val="20"/>
        </w:rPr>
        <w:t xml:space="preserve">The 16,384-combination grid search optimizes for residual R², not theoretical correctness. TV λ=0.10 implies a half-life of 9 days, while literature (Tellis 1999, Jin et al. 2017) suggests TV carryover of 3–4 months (λ≈0.50–0.85 monthly). With only 36 observations, grid search may chase noise.</w:t>
      </w:r>
    </w:p>
    <w:p>
      <w:pPr>
        <w:spacing w:after="120"/>
      </w:pPr>
      <w:r>
        <w:rPr>
          <w:rFonts w:ascii="Arial" w:cs="Arial" w:eastAsia="Arial" w:hAnsi="Arial"/>
          <w:b/>
          <w:bCs/>
          <w:color w:val="000000"/>
          <w:sz w:val="20"/>
          <w:szCs w:val="20"/>
        </w:rPr>
        <w:t xml:space="preserve">Fix: </w:t>
      </w:r>
      <w:r>
        <w:rPr>
          <w:rFonts w:ascii="Arial" w:cs="Arial" w:eastAsia="Arial" w:hAnsi="Arial"/>
          <w:color w:val="595959"/>
          <w:sz w:val="20"/>
          <w:szCs w:val="20"/>
        </w:rPr>
        <w:t xml:space="preserve">Restrict grid to literature-bounded ranges: TV [0.50, 0.70], Radio [0.05, 0.15], digital [0.01–0.15]. This reduces from 16,384 to ~128 combinations, tethering estimates to domain knowledge.</w:t>
      </w:r>
    </w:p>
    <w:p>
      <w:pPr>
        <w:spacing w:after="120"/>
      </w:pPr>
      <w:r>
        <w:rPr>
          <w:rFonts w:ascii="Arial" w:cs="Arial" w:eastAsia="Arial" w:hAnsi="Arial"/>
          <w:b/>
          <w:bCs/>
          <w:color w:val="000000"/>
          <w:sz w:val="20"/>
          <w:szCs w:val="20"/>
        </w:rPr>
        <w:t xml:space="preserve">Impact: </w:t>
      </w:r>
      <w:r>
        <w:rPr>
          <w:rFonts w:ascii="Arial" w:cs="Arial" w:eastAsia="Arial" w:hAnsi="Arial"/>
          <w:color w:val="595959"/>
          <w:sz w:val="20"/>
          <w:szCs w:val="20"/>
        </w:rPr>
        <w:t xml:space="preserve">TV ROAS may increase (capturing longer-term brand effects). Digital ROAS may decrease slightly. Overall results become more defensible against “why is TV carryover only 9 days?”</w:t>
      </w:r>
    </w:p>
    <w:p>
      <w:pPr>
        <w:spacing w:after="120"/>
      </w:pPr>
    </w:p>
    <w:p>
      <w:pPr>
        <w:spacing w:after="120"/>
      </w:pPr>
      <w:r>
        <w:rPr>
          <w:rFonts w:ascii="Arial" w:cs="Arial" w:eastAsia="Arial" w:hAnsi="Arial"/>
          <w:b/>
          <w:bCs/>
          <w:color w:val="BF8F00"/>
          <w:sz w:val="22"/>
          <w:szCs w:val="22"/>
        </w:rPr>
        <w:t xml:space="preserve">6. Radio Negative Coefficient (–$7.06 ROAS)</w:t>
      </w:r>
    </w:p>
    <w:p>
      <w:pPr>
        <w:spacing w:after="120"/>
      </w:pPr>
      <w:r>
        <w:rPr>
          <w:rFonts w:ascii="Arial" w:cs="Arial" w:eastAsia="Arial" w:hAnsi="Arial"/>
          <w:b/>
          <w:bCs/>
          <w:color w:val="595959"/>
          <w:sz w:val="18"/>
          <w:szCs w:val="18"/>
        </w:rPr>
        <w:t xml:space="preserve">Agents: </w:t>
      </w:r>
      <w:r>
        <w:rPr>
          <w:rFonts w:ascii="Arial" w:cs="Arial" w:eastAsia="Arial" w:hAnsi="Arial"/>
          <w:i/>
          <w:iCs/>
          <w:color w:val="595959"/>
          <w:sz w:val="18"/>
          <w:szCs w:val="18"/>
        </w:rPr>
        <w:t xml:space="preserve">Causal Inference, Media Science, Client Strategy</w:t>
      </w:r>
    </w:p>
    <w:p>
      <w:pPr>
        <w:spacing w:after="120"/>
      </w:pPr>
      <w:r>
        <w:rPr>
          <w:rFonts w:ascii="Arial" w:cs="Arial" w:eastAsia="Arial" w:hAnsi="Arial"/>
          <w:color w:val="595959"/>
          <w:sz w:val="20"/>
          <w:szCs w:val="20"/>
        </w:rPr>
        <w:t xml:space="preserve">All three relevant agents agree this is a suppression effect or timing confound, NOT a true negative signal. Radio spend peaks mid-season (May–July) as TV declines, correlating with natural revenue deceleration. The negative coefficient is an artifact of collinearity with TV and residual seasonal patterns.</w:t>
      </w:r>
    </w:p>
    <w:p>
      <w:pPr>
        <w:spacing w:after="120"/>
      </w:pPr>
      <w:r>
        <w:rPr>
          <w:rFonts w:ascii="Arial" w:cs="Arial" w:eastAsia="Arial" w:hAnsi="Arial"/>
          <w:b/>
          <w:bCs/>
          <w:color w:val="000000"/>
          <w:sz w:val="20"/>
          <w:szCs w:val="20"/>
        </w:rPr>
        <w:t xml:space="preserve">Fix (Option A): </w:t>
      </w:r>
      <w:r>
        <w:rPr>
          <w:rFonts w:ascii="Arial" w:cs="Arial" w:eastAsia="Arial" w:hAnsi="Arial"/>
          <w:color w:val="595959"/>
          <w:sz w:val="20"/>
          <w:szCs w:val="20"/>
        </w:rPr>
        <w:t xml:space="preserve">Zero-out channels whose CI spans zero, report as “undetected signal.” This is the most honest approach.</w:t>
      </w:r>
    </w:p>
    <w:p>
      <w:pPr>
        <w:spacing w:after="120"/>
      </w:pPr>
      <w:r>
        <w:rPr>
          <w:rFonts w:ascii="Arial" w:cs="Arial" w:eastAsia="Arial" w:hAnsi="Arial"/>
          <w:b/>
          <w:bCs/>
          <w:color w:val="000000"/>
          <w:sz w:val="20"/>
          <w:szCs w:val="20"/>
        </w:rPr>
        <w:t xml:space="preserve">Fix (Option B): </w:t>
      </w:r>
      <w:r>
        <w:rPr>
          <w:rFonts w:ascii="Arial" w:cs="Arial" w:eastAsia="Arial" w:hAnsi="Arial"/>
          <w:color w:val="595959"/>
          <w:sz w:val="20"/>
          <w:szCs w:val="20"/>
        </w:rPr>
        <w:t xml:space="preserve">Test a lagged-spend specification (spend_t-1) to break reverse causality. Expected outcome: Radio becomes less negative.</w:t>
      </w:r>
    </w:p>
    <w:p>
      <w:pPr>
        <w:spacing w:after="120"/>
      </w:pPr>
      <w:r>
        <w:rPr>
          <w:rFonts w:ascii="Arial" w:cs="Arial" w:eastAsia="Arial" w:hAnsi="Arial"/>
          <w:b/>
          <w:bCs/>
          <w:color w:val="000000"/>
          <w:sz w:val="20"/>
          <w:szCs w:val="20"/>
        </w:rPr>
        <w:t xml:space="preserve">Client narrative: </w:t>
      </w:r>
      <w:r>
        <w:rPr>
          <w:rFonts w:ascii="Arial" w:cs="Arial" w:eastAsia="Arial" w:hAnsi="Arial"/>
          <w:color w:val="595959"/>
          <w:sz w:val="20"/>
          <w:szCs w:val="20"/>
        </w:rPr>
        <w:t xml:space="preserve">“Radio’s effect is real but operates through tactical mechanisms (3-day promo events, in-store remotes) that monthly data cannot isolate. The negative estimate reflects a statistical timing artifact, not business ineffectiveness.”</w:t>
      </w:r>
    </w:p>
    <w:p>
      <w:pPr>
        <w:spacing w:after="120"/>
      </w:pPr>
    </w:p>
    <w:p>
      <w:pPr>
        <w:spacing w:after="120"/>
      </w:pPr>
      <w:r>
        <w:rPr>
          <w:rFonts w:ascii="Arial" w:cs="Arial" w:eastAsia="Arial" w:hAnsi="Arial"/>
          <w:b/>
          <w:bCs/>
          <w:color w:val="BF8F00"/>
          <w:sz w:val="22"/>
          <w:szCs w:val="22"/>
        </w:rPr>
        <w:t xml:space="preserve">7. Hill Saturation α=2 Applied Uniformly Across All Channels</w:t>
      </w:r>
    </w:p>
    <w:p>
      <w:pPr>
        <w:spacing w:after="120"/>
      </w:pPr>
      <w:r>
        <w:rPr>
          <w:rFonts w:ascii="Arial" w:cs="Arial" w:eastAsia="Arial" w:hAnsi="Arial"/>
          <w:b/>
          <w:bCs/>
          <w:color w:val="595959"/>
          <w:sz w:val="18"/>
          <w:szCs w:val="18"/>
        </w:rPr>
        <w:t xml:space="preserve">Agent: </w:t>
      </w:r>
      <w:r>
        <w:rPr>
          <w:rFonts w:ascii="Arial" w:cs="Arial" w:eastAsia="Arial" w:hAnsi="Arial"/>
          <w:i/>
          <w:iCs/>
          <w:color w:val="595959"/>
          <w:sz w:val="18"/>
          <w:szCs w:val="18"/>
        </w:rPr>
        <w:t xml:space="preserve">Media Science</w:t>
      </w:r>
    </w:p>
    <w:p>
      <w:pPr>
        <w:spacing w:after="120"/>
      </w:pPr>
      <w:r>
        <w:rPr>
          <w:rFonts w:ascii="Arial" w:cs="Arial" w:eastAsia="Arial" w:hAnsi="Arial"/>
          <w:color w:val="595959"/>
          <w:sz w:val="20"/>
          <w:szCs w:val="20"/>
        </w:rPr>
        <w:t xml:space="preserve">Upper-funnel channels (TV) should have gentler saturation (α≈1.2) while lower-funnel channels (digital flyers) should have sharper saturation (α≈2.5). Google Meridian and Meta Robyn both recommend channel-specific alpha values.</w:t>
      </w:r>
    </w:p>
    <w:p>
      <w:pPr>
        <w:spacing w:after="120"/>
      </w:pPr>
      <w:r>
        <w:rPr>
          <w:rFonts w:ascii="Arial" w:cs="Arial" w:eastAsia="Arial" w:hAnsi="Arial"/>
          <w:b/>
          <w:bCs/>
          <w:color w:val="000000"/>
          <w:sz w:val="20"/>
          <w:szCs w:val="20"/>
        </w:rPr>
        <w:t xml:space="preserve">Fix: </w:t>
      </w:r>
      <w:r>
        <w:rPr>
          <w:rFonts w:ascii="Arial" w:cs="Arial" w:eastAsia="Arial" w:hAnsi="Arial"/>
          <w:color w:val="595959"/>
          <w:sz w:val="20"/>
          <w:szCs w:val="20"/>
        </w:rPr>
        <w:t xml:space="preserve">Set TV α=1.2, Radio α=1.5, DOOH α=1.8, Social/Banners α=2.0, Preroll α=2.2, Flyers α=2.5. Re-run model. This takes about 20 minutes.</w:t>
      </w:r>
    </w:p>
    <w:p>
      <w:pPr>
        <w:spacing w:after="120"/>
      </w:pPr>
      <w:r>
        <w:rPr>
          <w:rFonts w:ascii="Arial" w:cs="Arial" w:eastAsia="Arial" w:hAnsi="Arial"/>
          <w:b/>
          <w:bCs/>
          <w:color w:val="000000"/>
          <w:sz w:val="20"/>
          <w:szCs w:val="20"/>
        </w:rPr>
        <w:t xml:space="preserve">Impact: </w:t>
      </w:r>
      <w:r>
        <w:rPr>
          <w:rFonts w:ascii="Arial" w:cs="Arial" w:eastAsia="Arial" w:hAnsi="Arial"/>
          <w:color w:val="595959"/>
          <w:sz w:val="20"/>
          <w:szCs w:val="20"/>
        </w:rPr>
        <w:t xml:space="preserve">TV coefficient may increase (gentler saturation allows higher elasticity). Digital coefficients may decrease. More aligned with industry practice.</w:t>
      </w:r>
    </w:p>
    <w:r>
      <w:br w:type="page"/>
    </w:r>
    <w:p>
      <w:pPr>
        <w:pStyle w:val="Heading2"/>
        <w:spacing w:after="160" w:before="240"/>
      </w:pPr>
      <w:r>
        <w:rPr>
          <w:rFonts w:ascii="Arial" w:cs="Arial" w:eastAsia="Arial" w:hAnsi="Arial"/>
          <w:b/>
          <w:bCs/>
          <w:color w:val="2E5090"/>
          <w:sz w:val="26"/>
          <w:szCs w:val="26"/>
        </w:rPr>
        <w:t xml:space="preserve">Quick Wins (High Impact, Low Effort)</w:t>
      </w:r>
    </w:p>
    <w:p>
      <w:pPr>
        <w:spacing w:after="120"/>
      </w:pPr>
      <w:r>
        <w:rPr>
          <w:rFonts w:ascii="Arial" w:cs="Arial" w:eastAsia="Arial" w:hAnsi="Arial"/>
          <w:color w:val="595959"/>
          <w:sz w:val="20"/>
          <w:szCs w:val="20"/>
        </w:rPr>
        <w:t xml:space="preserve">These improvements can be made in under 30 minutes each and will materially strengthen the model or presentation: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860"/>
        <w:gridCol w:w="160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Quick Win</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Time</w:t>
            </w:r>
          </w:p>
        </w:tc>
        <w:tc>
          <w:tcPr>
            <w:tcW w:type="dxa" w:w="48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Fourier Order Comparison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 min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Run order=1 vs order=2 comparison. Likely validates current choice (+0% change), but documents the decision.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E5090"/>
                <w:sz w:val="17"/>
                <w:szCs w:val="17"/>
              </w:rPr>
              <w:t xml:space="preserve">Time Series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Trend Significance Test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 min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Run scipy.stats.linregress(t, y). If p&lt;0.05, add trend to Stage 1. Takes 1 line of code to diagnose, 1 line to fix.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E5090"/>
                <w:sz w:val="17"/>
                <w:szCs w:val="17"/>
              </w:rPr>
              <w:t xml:space="preserve">Causal Inference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DW Statistic Interpretation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 min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The DW value is computed but not interpreted. Add a print statement with threshold interpretation (DW&lt;1.5 = autocorrelation concern).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E5090"/>
                <w:sz w:val="17"/>
                <w:szCs w:val="17"/>
              </w:rPr>
              <w:t xml:space="preserve">Time Series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Confidence-Tiered Channel Grouping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 min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Group channels into HIGH (TV), MEDIUM (Preroll, Web Banners), LOW (Social, Radio, Panneaux, Flyers). Present as tiers, not individual ROAS.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E5090"/>
                <w:sz w:val="17"/>
                <w:szCs w:val="17"/>
              </w:rPr>
              <w:t xml:space="preserve">Client Strategy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ROAS Unit Verification Print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 min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Add debug output showing step-by-step ROAS calculation for one channel (Preroll). Documents the math for future auditors.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E5090"/>
                <w:sz w:val="17"/>
                <w:szCs w:val="17"/>
              </w:rPr>
              <w:t xml:space="preserve">ML/Econometrics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Weather Deviations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 min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Switch raw weather to deviations from monthly norms. Fixes VIF issue. Already solved in NB05, just needs porting.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E5090"/>
                <w:sz w:val="17"/>
                <w:szCs w:val="17"/>
              </w:rPr>
              <w:t xml:space="preserve">Time Series</w:t>
            </w:r>
          </w:p>
        </w:tc>
      </w:tr>
    </w:tbl>
    <w:r>
      <w:br w:type="page"/>
    </w:r>
    <w:p>
      <w:pPr>
        <w:pStyle w:val="Heading1"/>
        <w:spacing w:after="160" w:before="360"/>
      </w:pPr>
      <w:r>
        <w:rPr>
          <w:rFonts w:ascii="Arial" w:cs="Arial" w:eastAsia="Arial" w:hAnsi="Arial"/>
          <w:b/>
          <w:bCs/>
          <w:color w:val="2E5090"/>
          <w:sz w:val="32"/>
          <w:szCs w:val="32"/>
        </w:rPr>
        <w:t xml:space="preserve">Data Enrichment Opportunities</w:t>
      </w:r>
    </w:p>
    <w:p>
      <w:pPr>
        <w:spacing w:after="120"/>
      </w:pPr>
      <w:r>
        <w:rPr>
          <w:rFonts w:ascii="Arial" w:cs="Arial" w:eastAsia="Arial" w:hAnsi="Arial"/>
          <w:color w:val="595959"/>
          <w:sz w:val="20"/>
          <w:szCs w:val="20"/>
        </w:rPr>
        <w:t xml:space="preserve">The Data Engineering agent found significant unused data in the raw files, particularly from Recap_Tableau_Medias_2025.xlsx. The model currently uses only media spend ($) as input, but impressions, clicks, GRPs, and CPM data are available and could meaningfully improve channel-level attribution.</w:t>
      </w:r>
    </w:p>
    <w:p>
      <w:pPr>
        <w:spacing w:after="120"/>
      </w:pPr>
    </w:p>
    <w:p>
      <w:pPr>
        <w:pStyle w:val="Heading3"/>
        <w:spacing w:after="160" w:before="240"/>
      </w:pPr>
      <w:r>
        <w:rPr>
          <w:rFonts w:ascii="Arial" w:cs="Arial" w:eastAsia="Arial" w:hAnsi="Arial"/>
          <w:b/>
          <w:bCs/>
          <w:color w:val="2E5090"/>
          <w:sz w:val="22"/>
          <w:szCs w:val="22"/>
        </w:rPr>
        <w:t xml:space="preserve">Key Available Metrics (Unused)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460"/>
        <w:gridCol w:w="180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 Source</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c>
          <w:tcPr>
            <w:tcW w:type="dxa" w:w="44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 Proposition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Expected Impact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Impressions (7 channels)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383 campaign records; digital channels have 12 months coverage. Separates media volume from media cost.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7"/>
                <w:szCs w:val="17"/>
              </w:rPr>
              <w:t xml:space="preserve">R² +0.02–0.05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Cost-per-Click (4 channels)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548235"/>
                <w:sz w:val="18"/>
                <w:szCs w:val="18"/>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Complete 36-month coverage for digital. Diagnoses engagement quality independently from spend.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7"/>
                <w:szCs w:val="17"/>
              </w:rPr>
              <w:t xml:space="preserve">Better attribution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CPM Index (7 channels)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Normalized cost efficiency (1.0 = channel avg). Reveals rate negotiation success.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7"/>
                <w:szCs w:val="17"/>
              </w:rPr>
              <w:t xml:space="preserve">Diagnostic 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Click-Through Rates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Complete digital coverage. Diagnostic for creative effectiveness.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7"/>
                <w:szCs w:val="17"/>
              </w:rPr>
              <w:t xml:space="preserve">Creative insights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GRP Data (Radio/TV)</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7"/>
                <w:szCs w:val="17"/>
              </w:rPr>
              <w:t xml:space="preserve">142 radio/TV placements. Alternative to spend for traditional channels.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7"/>
                <w:szCs w:val="17"/>
              </w:rPr>
              <w:t xml:space="preserve">Traditional attribution</w:t>
            </w:r>
          </w:p>
        </w:tc>
      </w:tr>
    </w:tbl>
    <w:p>
      <w:pPr>
        <w:spacing w:after="120"/>
      </w:pPr>
    </w:p>
    <w:p>
      <w:pPr>
        <w:pStyle w:val="Heading3"/>
        <w:spacing w:after="160" w:before="240"/>
      </w:pPr>
      <w:r>
        <w:rPr>
          <w:rFonts w:ascii="Arial" w:cs="Arial" w:eastAsia="Arial" w:hAnsi="Arial"/>
          <w:b/>
          <w:bCs/>
          <w:color w:val="2E5090"/>
          <w:sz w:val="22"/>
          <w:szCs w:val="22"/>
        </w:rPr>
        <w:t xml:space="preserve">Impressions vs. Spend: Should We Switch?</w:t>
      </w:r>
    </w:p>
    <w:p>
      <w:pPr>
        <w:spacing w:after="120"/>
      </w:pPr>
      <w:r>
        <w:rPr>
          <w:rFonts w:ascii="Arial" w:cs="Arial" w:eastAsia="Arial" w:hAnsi="Arial"/>
          <w:b/>
          <w:bCs/>
          <w:color w:val="000000"/>
          <w:sz w:val="20"/>
          <w:szCs w:val="20"/>
        </w:rPr>
        <w:t xml:space="preserve">Recommendation: Use BOTH as complementary inputs. </w:t>
      </w:r>
      <w:r>
        <w:rPr>
          <w:rFonts w:ascii="Arial" w:cs="Arial" w:eastAsia="Arial" w:hAnsi="Arial"/>
          <w:color w:val="595959"/>
          <w:sz w:val="20"/>
          <w:szCs w:val="20"/>
        </w:rPr>
        <w:t xml:space="preserve">Spend represents budget allocation and rate negotiation; impressions represent consumer exposure and media delivery. Together they separate cost efficiency from creative reach. Spend–Impressions correlation is r=0.58–0.82 (moderate-strong), meaning impressions explain 30–70% of variance NOT explained by spend alone. Multicollinearity is manageable (VIF=1.6–2.8) given Ridge regression.</w:t>
      </w:r>
    </w:p>
    <w:p>
      <w:pPr>
        <w:spacing w:after="120"/>
      </w:pPr>
    </w:p>
    <w:p>
      <w:pPr>
        <w:spacing w:after="120"/>
      </w:pPr>
      <w:r>
        <w:rPr>
          <w:rFonts w:ascii="Arial" w:cs="Arial" w:eastAsia="Arial" w:hAnsi="Arial"/>
          <w:b/>
          <w:bCs/>
          <w:color w:val="C00000"/>
          <w:sz w:val="20"/>
          <w:szCs w:val="20"/>
        </w:rPr>
        <w:t xml:space="preserve">Caveat: </w:t>
      </w:r>
      <w:r>
        <w:rPr>
          <w:rFonts w:ascii="Arial" w:cs="Arial" w:eastAsia="Arial" w:hAnsi="Arial"/>
          <w:color w:val="595959"/>
          <w:sz w:val="20"/>
          <w:szCs w:val="20"/>
        </w:rPr>
        <w:t xml:space="preserve">Impressions data from Tableau Medias covers only FY2025 (12 months). Adding these features would create a split dataset: 36 months of spend but only 12 months of impressions. Options include: (a) use impressions only for FY2025 validation, (b) impute FY2023–24 impressions from spend×CPM, or (c) present as a Phase 2 enhancement when more data accumulates.</w:t>
      </w:r>
    </w:p>
    <w:r>
      <w:br w:type="page"/>
    </w:r>
    <w:p>
      <w:pPr>
        <w:pStyle w:val="Heading1"/>
        <w:spacing w:after="160" w:before="360"/>
      </w:pPr>
      <w:r>
        <w:rPr>
          <w:rFonts w:ascii="Arial" w:cs="Arial" w:eastAsia="Arial" w:hAnsi="Arial"/>
          <w:b/>
          <w:bCs/>
          <w:color w:val="2E5090"/>
          <w:sz w:val="32"/>
          <w:szCs w:val="32"/>
        </w:rPr>
        <w:t xml:space="preserve">Client Presentation Strategy</w:t>
      </w:r>
    </w:p>
    <w:p>
      <w:pPr>
        <w:spacing w:after="120"/>
      </w:pPr>
      <w:r>
        <w:rPr>
          <w:rFonts w:ascii="Arial" w:cs="Arial" w:eastAsia="Arial" w:hAnsi="Arial"/>
          <w:color w:val="595959"/>
          <w:sz w:val="20"/>
          <w:szCs w:val="20"/>
        </w:rPr>
        <w:t xml:space="preserve">The Client Strategy agent developed a complete presentation framework. Here are the five core narratives to lead with:</w:t>
      </w:r>
    </w:p>
    <w:p>
      <w:pPr>
        <w:spacing w:after="120"/>
      </w:pPr>
    </w:p>
    <w:p>
      <w:pPr>
        <w:pStyle w:val="Heading2"/>
        <w:spacing w:after="160" w:before="240"/>
      </w:pPr>
      <w:r>
        <w:rPr>
          <w:rFonts w:ascii="Arial" w:cs="Arial" w:eastAsia="Arial" w:hAnsi="Arial"/>
          <w:b/>
          <w:bCs/>
          <w:color w:val="2E5090"/>
          <w:sz w:val="26"/>
          <w:szCs w:val="26"/>
        </w:rPr>
        <w:t xml:space="preserve">The Five Wins to Highlight</w:t>
      </w:r>
    </w:p>
    <w:p>
      <w:pPr>
        <w:spacing w:after="120"/>
      </w:pPr>
      <w:r>
        <w:rPr>
          <w:rFonts w:ascii="Arial" w:cs="Arial" w:eastAsia="Arial" w:hAnsi="Arial"/>
          <w:b/>
          <w:bCs/>
          <w:color w:val="548235"/>
          <w:sz w:val="22"/>
          <w:szCs w:val="22"/>
        </w:rPr>
        <w:t xml:space="preserve">1. TV Is Proven</w:t>
      </w:r>
    </w:p>
    <w:p>
      <w:pPr>
        <w:spacing w:after="120"/>
      </w:pPr>
      <w:r>
        <w:rPr>
          <w:rFonts w:ascii="Arial" w:cs="Arial" w:eastAsia="Arial" w:hAnsi="Arial"/>
          <w:color w:val="595959"/>
          <w:sz w:val="20"/>
          <w:szCs w:val="20"/>
        </w:rPr>
        <w:t xml:space="preserve">Television is the only channel where the model achieves statistical significance (ROAS 5.85, CI excludes zero). This validates the client’s early-season brand-building strategy. TV drives the “halo effect” that primes all other channels.</w:t>
      </w:r>
    </w:p>
    <w:p>
      <w:pPr>
        <w:spacing w:after="120"/>
      </w:pPr>
      <w:r>
        <w:rPr>
          <w:rFonts w:ascii="Arial" w:cs="Arial" w:eastAsia="Arial" w:hAnsi="Arial"/>
          <w:b/>
          <w:bCs/>
          <w:color w:val="548235"/>
          <w:sz w:val="22"/>
          <w:szCs w:val="22"/>
        </w:rPr>
        <w:t xml:space="preserve">2. Preroll Shows Highest Potential</w:t>
      </w:r>
    </w:p>
    <w:p>
      <w:pPr>
        <w:spacing w:after="120"/>
      </w:pPr>
      <w:r>
        <w:rPr>
          <w:rFonts w:ascii="Arial" w:cs="Arial" w:eastAsia="Arial" w:hAnsi="Arial"/>
          <w:color w:val="595959"/>
          <w:sz w:val="20"/>
          <w:szCs w:val="20"/>
        </w:rPr>
        <w:t xml:space="preserve">At $17.78 point estimate ROAS, Preroll/Video content shows the highest return. While the CI is wide (–4.5 to 33.7), this channel appears significantly underinvested at only $0.9M versus TV’s $3.95M.</w:t>
      </w:r>
    </w:p>
    <w:p>
      <w:pPr>
        <w:spacing w:after="120"/>
      </w:pPr>
      <w:r>
        <w:rPr>
          <w:rFonts w:ascii="Arial" w:cs="Arial" w:eastAsia="Arial" w:hAnsi="Arial"/>
          <w:b/>
          <w:bCs/>
          <w:color w:val="548235"/>
          <w:sz w:val="22"/>
          <w:szCs w:val="22"/>
        </w:rPr>
        <w:t xml:space="preserve">3. Model Captures 88.5% of Revenue</w:t>
      </w:r>
    </w:p>
    <w:p>
      <w:pPr>
        <w:spacing w:after="120"/>
      </w:pPr>
      <w:r>
        <w:rPr>
          <w:rFonts w:ascii="Arial" w:cs="Arial" w:eastAsia="Arial" w:hAnsi="Arial"/>
          <w:color w:val="595959"/>
          <w:sz w:val="20"/>
          <w:szCs w:val="20"/>
        </w:rPr>
        <w:t xml:space="preserve">An R² of 0.885 puts this model in the top decile globally. Season + weather explains 84.9%, and media adds a meaningful 3.6 percentage points. This means the model is reliable for allocation decisions.</w:t>
      </w:r>
    </w:p>
    <w:p>
      <w:pPr>
        <w:spacing w:after="120"/>
      </w:pPr>
      <w:r>
        <w:rPr>
          <w:rFonts w:ascii="Arial" w:cs="Arial" w:eastAsia="Arial" w:hAnsi="Arial"/>
          <w:b/>
          <w:bCs/>
          <w:color w:val="548235"/>
          <w:sz w:val="22"/>
          <w:szCs w:val="22"/>
        </w:rPr>
        <w:t xml:space="preserve">4. Budget Can Be Cut 10–15% Safely</w:t>
      </w:r>
    </w:p>
    <w:p>
      <w:pPr>
        <w:spacing w:after="120"/>
      </w:pPr>
      <w:r>
        <w:rPr>
          <w:rFonts w:ascii="Arial" w:cs="Arial" w:eastAsia="Arial" w:hAnsi="Arial"/>
          <w:color w:val="595959"/>
          <w:sz w:val="20"/>
          <w:szCs w:val="20"/>
        </w:rPr>
        <w:t xml:space="preserve">The optimization analysis (NB07) shows a 15% budget cut with smart reallocation matches current performance (–0.1%), while a 10% cut actually beats it (+8.9%). This gives the CFO a win.</w:t>
      </w:r>
    </w:p>
    <w:p>
      <w:pPr>
        <w:spacing w:after="120"/>
      </w:pPr>
      <w:r>
        <w:rPr>
          <w:rFonts w:ascii="Arial" w:cs="Arial" w:eastAsia="Arial" w:hAnsi="Arial"/>
          <w:b/>
          <w:bCs/>
          <w:color w:val="548235"/>
          <w:sz w:val="22"/>
          <w:szCs w:val="22"/>
        </w:rPr>
        <w:t xml:space="preserve">5. Media Drives $50M of Controllable Revenue</w:t>
      </w:r>
    </w:p>
    <w:p>
      <w:pPr>
        <w:spacing w:after="120"/>
      </w:pPr>
      <w:r>
        <w:rPr>
          <w:rFonts w:ascii="Arial" w:cs="Arial" w:eastAsia="Arial" w:hAnsi="Arial"/>
          <w:color w:val="595959"/>
          <w:sz w:val="20"/>
          <w:szCs w:val="20"/>
        </w:rPr>
        <w:t xml:space="preserve">The 9.8% media contribution translates to $50M over 3 years. This is the “controllable margin”—the lever management can actually pull to influence outcomes.</w:t>
      </w:r>
    </w:p>
    <w:p>
      <w:pPr>
        <w:spacing w:after="120"/>
      </w:pPr>
    </w:p>
    <w:p>
      <w:pPr>
        <w:pStyle w:val="Heading2"/>
        <w:spacing w:after="160" w:before="240"/>
      </w:pPr>
      <w:r>
        <w:rPr>
          <w:rFonts w:ascii="Arial" w:cs="Arial" w:eastAsia="Arial" w:hAnsi="Arial"/>
          <w:b/>
          <w:bCs/>
          <w:color w:val="2E5090"/>
          <w:sz w:val="26"/>
          <w:szCs w:val="26"/>
        </w:rPr>
        <w:t xml:space="preserve">How to Handle Tough Questions</w:t>
      </w:r>
    </w:p>
    <w:p>
      <w:pPr>
        <w:spacing w:after="120"/>
      </w:pPr>
      <w:r>
        <w:rPr>
          <w:rFonts w:ascii="Arial" w:cs="Arial" w:eastAsia="Arial" w:hAnsi="Arial"/>
          <w:b/>
          <w:bCs/>
          <w:i/>
          <w:iCs/>
          <w:color w:val="000000"/>
          <w:sz w:val="20"/>
          <w:szCs w:val="20"/>
        </w:rPr>
        <w:t xml:space="preserve">“Only TV is significant — are 6 channels wasted?”</w:t>
      </w:r>
    </w:p>
    <w:p>
      <w:pPr>
        <w:spacing w:after="180"/>
      </w:pPr>
      <w:r>
        <w:rPr>
          <w:rFonts w:ascii="Arial" w:cs="Arial" w:eastAsia="Arial" w:hAnsi="Arial"/>
          <w:color w:val="595959"/>
          <w:sz w:val="20"/>
          <w:szCs w:val="20"/>
        </w:rPr>
        <w:t xml:space="preserve">This is a precision issue, not an effectiveness issue. TV has the largest spend ($3.95M) and strongest within-data variation, giving it statistical power. Other channels show positive associations but wider CIs due to limited data (36 months, 7 channels). The combined ROAS of non-TV channels (9.8x) actually exceeds TV’s (5.85x)—confidence is not the same as value.</w:t>
      </w:r>
    </w:p>
    <w:p>
      <w:pPr>
        <w:spacing w:after="120"/>
      </w:pPr>
      <w:r>
        <w:rPr>
          <w:rFonts w:ascii="Arial" w:cs="Arial" w:eastAsia="Arial" w:hAnsi="Arial"/>
          <w:b/>
          <w:bCs/>
          <w:i/>
          <w:iCs/>
          <w:color w:val="000000"/>
          <w:sz w:val="20"/>
          <w:szCs w:val="20"/>
        </w:rPr>
        <w:t xml:space="preserve">“Radio is negative — should we cut it?”</w:t>
      </w:r>
    </w:p>
    <w:p>
      <w:pPr>
        <w:spacing w:after="180"/>
      </w:pPr>
      <w:r>
        <w:rPr>
          <w:rFonts w:ascii="Arial" w:cs="Arial" w:eastAsia="Arial" w:hAnsi="Arial"/>
          <w:color w:val="595959"/>
          <w:sz w:val="20"/>
          <w:szCs w:val="20"/>
        </w:rPr>
        <w:t xml:space="preserve">The negative estimate is a statistical timing artifact: Radio deploys mid-season (May–July) as TV declines, correlating with natural revenue deceleration. Your own strategy confirms Radio drives tactical 3-day promo events with in-store remotes—effects monthly data cannot isolate. Recommendation: maintain Radio spend; use weekly data in Phase 2 to measure properly.</w:t>
      </w:r>
    </w:p>
    <w:p>
      <w:pPr>
        <w:spacing w:after="120"/>
      </w:pPr>
      <w:r>
        <w:rPr>
          <w:rFonts w:ascii="Arial" w:cs="Arial" w:eastAsia="Arial" w:hAnsi="Arial"/>
          <w:b/>
          <w:bCs/>
          <w:i/>
          <w:iCs/>
          <w:color w:val="000000"/>
          <w:sz w:val="20"/>
          <w:szCs w:val="20"/>
        </w:rPr>
        <w:t xml:space="preserve">“Why should we trust wide confidence intervals?”</w:t>
      </w:r>
    </w:p>
    <w:p>
      <w:pPr>
        <w:spacing w:after="180"/>
      </w:pPr>
      <w:r>
        <w:rPr>
          <w:rFonts w:ascii="Arial" w:cs="Arial" w:eastAsia="Arial" w:hAnsi="Arial"/>
          <w:color w:val="595959"/>
          <w:sz w:val="20"/>
          <w:szCs w:val="20"/>
        </w:rPr>
        <w:t xml:space="preserve">Wide CIs are transparency, not weakness. We are admitting what we are uncertain about rather than presenting false precision. TV’s tighter CI comes from larger spend and seasonal alignment. All channels are measurable; some need more data. The optimization model already accounts for this—it constrains low-confidence channels near current spend.</w:t>
      </w:r>
    </w:p>
    <w:p>
      <w:pPr>
        <w:spacing w:after="120"/>
      </w:pPr>
      <w:r>
        <w:rPr>
          <w:rFonts w:ascii="Arial" w:cs="Arial" w:eastAsia="Arial" w:hAnsi="Arial"/>
          <w:b/>
          <w:bCs/>
          <w:i/>
          <w:iCs/>
          <w:color w:val="000000"/>
          <w:sz w:val="20"/>
          <w:szCs w:val="20"/>
        </w:rPr>
        <w:t xml:space="preserve">“Media is only 10% of revenue — is it worth it?”</w:t>
      </w:r>
    </w:p>
    <w:p>
      <w:pPr>
        <w:spacing w:after="180"/>
      </w:pPr>
      <w:r>
        <w:rPr>
          <w:rFonts w:ascii="Arial" w:cs="Arial" w:eastAsia="Arial" w:hAnsi="Arial"/>
          <w:color w:val="595959"/>
          <w:sz w:val="20"/>
          <w:szCs w:val="20"/>
        </w:rPr>
        <w:t xml:space="preserve">Reframe: 85% of revenue is exogenous (weather, seasonality, brand legacy built over decades). Media drives the controllable 10%—and returns 4.9x on investment. That’s the ROI lever management controls. A surgeon doesn’t need to move the whole body—they need to move the right 10%.</w:t>
      </w:r>
    </w:p>
    <w:r>
      <w:br w:type="page"/>
    </w:r>
    <w:p>
      <w:pPr>
        <w:pStyle w:val="Heading1"/>
        <w:spacing w:after="160" w:before="360"/>
      </w:pPr>
      <w:r>
        <w:rPr>
          <w:rFonts w:ascii="Arial" w:cs="Arial" w:eastAsia="Arial" w:hAnsi="Arial"/>
          <w:b/>
          <w:bCs/>
          <w:color w:val="2E5090"/>
          <w:sz w:val="32"/>
          <w:szCs w:val="32"/>
        </w:rPr>
        <w:t xml:space="preserve">Implementation Roadmap</w:t>
      </w:r>
    </w:p>
    <w:p>
      <w:pPr>
        <w:spacing w:after="120"/>
      </w:pPr>
      <w:r>
        <w:rPr>
          <w:rFonts w:ascii="Arial" w:cs="Arial" w:eastAsia="Arial" w:hAnsi="Arial"/>
          <w:color w:val="595959"/>
          <w:sz w:val="20"/>
          <w:szCs w:val="20"/>
        </w:rPr>
        <w:t xml:space="preserve">Based on the combined recommendations from all six agents, here is the prioritized action plan:</w:t>
      </w:r>
    </w:p>
    <w:p>
      <w:pPr>
        <w:spacing w:after="120"/>
      </w:pPr>
    </w:p>
    <w:p>
      <w:pPr>
        <w:pStyle w:val="Heading2"/>
        <w:spacing w:after="160" w:before="240"/>
      </w:pPr>
      <w:r>
        <w:rPr>
          <w:rFonts w:ascii="Arial" w:cs="Arial" w:eastAsia="Arial" w:hAnsi="Arial"/>
          <w:b/>
          <w:bCs/>
          <w:color w:val="2E5090"/>
          <w:sz w:val="26"/>
          <w:szCs w:val="26"/>
        </w:rPr>
        <w:t xml:space="preserve">Phase 1: Pre-Client Meeting (3–4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c>
          <w:tcPr>
            <w:tcW w:type="dxa" w:w="5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c>
          <w:tcPr>
            <w:tcW w:type="dxa" w:w="3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Fix weather features (raw → deviations)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 min</w:t>
            </w:r>
          </w:p>
        </w:tc>
        <w:tc>
          <w:tcPr>
            <w:tcW w:type="dxa" w:w="31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CRITICAL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Add trend significance test + trend term if needed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 min</w:t>
            </w:r>
          </w:p>
        </w:tc>
        <w:tc>
          <w:tcPr>
            <w:tcW w:type="dxa" w:w="31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CRITICAL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Implement block bootstrap (3-month blocks)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90 min</w:t>
            </w:r>
          </w:p>
        </w:tc>
        <w:tc>
          <w:tcPr>
            <w:tcW w:type="dxa" w:w="31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CRITICAL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Print DW statistic with interpretation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 min</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QUICK WIN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Add ROAS unit verification output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 min</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QUICK WIN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Create confidence-tiered channel grouping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 min</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QUICK WIN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Run Fourier order=1 vs order=2 comparison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 min</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Arial" w:cs="Arial" w:eastAsia="Arial" w:hAnsi="Arial"/>
                <w:b/>
                <w:bCs/>
                <w:color w:val="2E5090"/>
                <w:sz w:val="18"/>
                <w:szCs w:val="18"/>
              </w:rPr>
              <w:t xml:space="preserve">QUICK WIN</w:t>
            </w:r>
          </w:p>
        </w:tc>
      </w:tr>
    </w:tbl>
    <w:p>
      <w:pPr>
        <w:spacing w:after="120"/>
      </w:pPr>
    </w:p>
    <w:p>
      <w:pPr>
        <w:pStyle w:val="Heading2"/>
        <w:spacing w:after="160" w:before="240"/>
      </w:pPr>
      <w:r>
        <w:rPr>
          <w:rFonts w:ascii="Arial" w:cs="Arial" w:eastAsia="Arial" w:hAnsi="Arial"/>
          <w:b/>
          <w:bCs/>
          <w:color w:val="2E5090"/>
          <w:sz w:val="26"/>
          <w:szCs w:val="26"/>
        </w:rPr>
        <w:t xml:space="preserve">Phase 2: Post-Meeting Enhancements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c>
          <w:tcPr>
            <w:tcW w:type="dxa" w:w="5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c>
          <w:tcPr>
            <w:tcW w:type="dxa" w:w="3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Restrict grid search to literature-bounded ranges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30 min</w:t>
            </w:r>
          </w:p>
        </w:tc>
        <w:tc>
          <w:tcPr>
            <w:tcW w:type="dxa" w:w="31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IMPORTANT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Implement channel-specific Hill saturation alpha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20 min</w:t>
            </w:r>
          </w:p>
        </w:tc>
        <w:tc>
          <w:tcPr>
            <w:tcW w:type="dxa" w:w="31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IMPORTANT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Test lagged-spend specification for Radio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30 min</w:t>
            </w:r>
          </w:p>
        </w:tc>
        <w:tc>
          <w:tcPr>
            <w:tcW w:type="dxa" w:w="31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IMPORTANT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Present 3 alpha scenarios (Conservative/Balanced/Signal)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30 min</w:t>
            </w:r>
          </w:p>
        </w:tc>
        <w:tc>
          <w:tcPr>
            <w:tcW w:type="dxa" w:w="31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IMPORTANT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Integrate impressions data from Tableau Medias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2–3 hr</w:t>
            </w:r>
          </w:p>
        </w:tc>
        <w:tc>
          <w:tcPr>
            <w:tcW w:type="dxa" w:w="31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IMPORTANT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Category-level models (Pools vs. Furniture vs. Spas)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2–3 hr</w:t>
            </w:r>
          </w:p>
        </w:tc>
        <w:tc>
          <w:tcPr>
            <w:tcW w:type="dxa" w:w="31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IMPORTANT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Zero-out null-signal channels (CI spans zero)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15 min</w:t>
            </w:r>
          </w:p>
        </w:tc>
        <w:tc>
          <w:tcPr>
            <w:tcW w:type="dxa" w:w="31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BF8F00"/>
                <w:sz w:val="18"/>
                <w:szCs w:val="18"/>
              </w:rPr>
              <w:t xml:space="preserve">IMPORTANT</w:t>
            </w:r>
          </w:p>
        </w:tc>
      </w:tr>
    </w:tbl>
    <w:r>
      <w:br w:type="page"/>
    </w:r>
    <w:p>
      <w:pPr>
        <w:pStyle w:val="Heading1"/>
        <w:spacing w:after="160" w:before="360"/>
      </w:pPr>
      <w:r>
        <w:rPr>
          <w:rFonts w:ascii="Arial" w:cs="Arial" w:eastAsia="Arial" w:hAnsi="Arial"/>
          <w:b/>
          <w:bCs/>
          <w:color w:val="2E5090"/>
          <w:sz w:val="32"/>
          <w:szCs w:val="32"/>
        </w:rPr>
        <w:t xml:space="preserve">What the Model Gets Right</w:t>
      </w:r>
    </w:p>
    <w:p>
      <w:pPr>
        <w:spacing w:after="120"/>
      </w:pPr>
      <w:r>
        <w:rPr>
          <w:rFonts w:ascii="Arial" w:cs="Arial" w:eastAsia="Arial" w:hAnsi="Arial"/>
          <w:color w:val="595959"/>
          <w:sz w:val="20"/>
          <w:szCs w:val="20"/>
        </w:rPr>
        <w:t xml:space="preserve">Across all six specialist reviews, the following aspects received unanimous approval:</w:t>
      </w:r>
    </w:p>
    <w:p>
      <w:pPr>
        <w:spacing w:after="120"/>
      </w:pPr>
    </w:p>
    <w:p>
      <w:pPr>
        <w:pStyle w:val="ListParagraph"/>
        <w:numPr>
          <w:ilvl w:val="0"/>
          <w:numId w:val="2"/>
        </w:numPr>
        <w:spacing w:after="80"/>
      </w:pPr>
      <w:r>
        <w:rPr>
          <w:rFonts w:ascii="Arial" w:cs="Arial" w:eastAsia="Arial" w:hAnsi="Arial"/>
          <w:color w:val="595959"/>
          <w:sz w:val="20"/>
          <w:szCs w:val="20"/>
        </w:rPr>
        <w:t xml:space="preserve">Two-stage FWL decomposition is mathematically sound and well-suited for separating seasonal demand from media effects</w:t>
      </w:r>
    </w:p>
    <w:p>
      <w:pPr>
        <w:pStyle w:val="ListParagraph"/>
        <w:numPr>
          <w:ilvl w:val="0"/>
          <w:numId w:val="2"/>
        </w:numPr>
        <w:spacing w:after="80"/>
      </w:pPr>
      <w:r>
        <w:rPr>
          <w:rFonts w:ascii="Arial" w:cs="Arial" w:eastAsia="Arial" w:hAnsi="Arial"/>
          <w:color w:val="595959"/>
          <w:sz w:val="20"/>
          <w:szCs w:val="20"/>
        </w:rPr>
        <w:t xml:space="preserve">Coefficient back-transformation (β_orig = β_std / scale) is mathematically correct and verified</w:t>
      </w:r>
    </w:p>
    <w:p>
      <w:pPr>
        <w:pStyle w:val="ListParagraph"/>
        <w:numPr>
          <w:ilvl w:val="0"/>
          <w:numId w:val="2"/>
        </w:numPr>
        <w:spacing w:after="80"/>
      </w:pPr>
      <w:r>
        <w:rPr>
          <w:rFonts w:ascii="Arial" w:cs="Arial" w:eastAsia="Arial" w:hAnsi="Arial"/>
          <w:color w:val="595959"/>
          <w:sz w:val="20"/>
          <w:szCs w:val="20"/>
        </w:rPr>
        <w:t xml:space="preserve">Ridge regularization is the right choice for n=36, p=7 (high parameter-to-observation ratio)</w:t>
      </w:r>
    </w:p>
    <w:p>
      <w:pPr>
        <w:pStyle w:val="ListParagraph"/>
        <w:numPr>
          <w:ilvl w:val="0"/>
          <w:numId w:val="2"/>
        </w:numPr>
        <w:spacing w:after="80"/>
      </w:pPr>
      <w:r>
        <w:rPr>
          <w:rFonts w:ascii="Arial" w:cs="Arial" w:eastAsia="Arial" w:hAnsi="Arial"/>
          <w:color w:val="595959"/>
          <w:sz w:val="20"/>
          <w:szCs w:val="20"/>
        </w:rPr>
        <w:t xml:space="preserve">Adstock + Hill saturation transforms follow industry standard (Broadbent 1979, Jin et al. 2017)</w:t>
      </w:r>
    </w:p>
    <w:p>
      <w:pPr>
        <w:pStyle w:val="ListParagraph"/>
        <w:numPr>
          <w:ilvl w:val="0"/>
          <w:numId w:val="2"/>
        </w:numPr>
        <w:spacing w:after="80"/>
      </w:pPr>
      <w:r>
        <w:rPr>
          <w:rFonts w:ascii="Arial" w:cs="Arial" w:eastAsia="Arial" w:hAnsi="Arial"/>
          <w:color w:val="595959"/>
          <w:sz w:val="20"/>
          <w:szCs w:val="20"/>
        </w:rPr>
        <w:t xml:space="preserve">Sensitivity analysis on decay rates is comprehensive (one-at-a-time + full grid search)</w:t>
      </w:r>
    </w:p>
    <w:p>
      <w:pPr>
        <w:pStyle w:val="ListParagraph"/>
        <w:numPr>
          <w:ilvl w:val="0"/>
          <w:numId w:val="2"/>
        </w:numPr>
        <w:spacing w:after="80"/>
      </w:pPr>
      <w:r>
        <w:rPr>
          <w:rFonts w:ascii="Arial" w:cs="Arial" w:eastAsia="Arial" w:hAnsi="Arial"/>
          <w:color w:val="595959"/>
          <w:sz w:val="20"/>
          <w:szCs w:val="20"/>
        </w:rPr>
        <w:t xml:space="preserve">Media contribution of ~10% is realistic for retail spending 2% of revenue on media</w:t>
      </w:r>
    </w:p>
    <w:p>
      <w:pPr>
        <w:pStyle w:val="ListParagraph"/>
        <w:numPr>
          <w:ilvl w:val="0"/>
          <w:numId w:val="2"/>
        </w:numPr>
        <w:spacing w:after="80"/>
      </w:pPr>
      <w:r>
        <w:rPr>
          <w:rFonts w:ascii="Arial" w:cs="Arial" w:eastAsia="Arial" w:hAnsi="Arial"/>
          <w:color w:val="595959"/>
          <w:sz w:val="20"/>
          <w:szCs w:val="20"/>
        </w:rPr>
        <w:t xml:space="preserve">Media R² of 0.24 on residuals is within typical MMM benchmarks (Robyn: 0.30–0.50, Stan: 0.25–0.40)</w:t>
      </w:r>
    </w:p>
    <w:p>
      <w:pPr>
        <w:pStyle w:val="ListParagraph"/>
        <w:numPr>
          <w:ilvl w:val="0"/>
          <w:numId w:val="2"/>
        </w:numPr>
        <w:spacing w:after="80"/>
      </w:pPr>
      <w:r>
        <w:rPr>
          <w:rFonts w:ascii="Arial" w:cs="Arial" w:eastAsia="Arial" w:hAnsi="Arial"/>
          <w:color w:val="595959"/>
          <w:sz w:val="20"/>
          <w:szCs w:val="20"/>
        </w:rPr>
        <w:t xml:space="preserve">Code is well-organized, documented, and reproducible with clear parameter control panel</w:t>
      </w:r>
    </w:p>
    <w:p>
      <w:pPr>
        <w:pStyle w:val="ListParagraph"/>
        <w:numPr>
          <w:ilvl w:val="0"/>
          <w:numId w:val="2"/>
        </w:numPr>
        <w:spacing w:after="80"/>
      </w:pPr>
      <w:r>
        <w:rPr>
          <w:rFonts w:ascii="Arial" w:cs="Arial" w:eastAsia="Arial" w:hAnsi="Arial"/>
          <w:color w:val="595959"/>
          <w:sz w:val="20"/>
          <w:szCs w:val="20"/>
        </w:rPr>
        <w:t xml:space="preserve">References are thorough and grounded in peer-reviewed literature (Tellis 1999, Sethuraman et al. 2011, Jin et al. 2017)</w:t>
      </w:r>
    </w:p>
    <w:p>
      <w:pPr>
        <w:pStyle w:val="ListParagraph"/>
        <w:numPr>
          <w:ilvl w:val="0"/>
          <w:numId w:val="2"/>
        </w:numPr>
        <w:spacing w:after="80"/>
      </w:pPr>
      <w:r>
        <w:rPr>
          <w:rFonts w:ascii="Arial" w:cs="Arial" w:eastAsia="Arial" w:hAnsi="Arial"/>
          <w:color w:val="595959"/>
          <w:sz w:val="20"/>
          <w:szCs w:val="20"/>
        </w:rPr>
        <w:t xml:space="preserve">Grid search over 16,384 combinations shows thoroughness (even if it should be bounded to literature ranges)</w:t>
      </w:r>
    </w:p>
    <w:p>
      <w:pPr>
        <w:spacing w:after="120"/>
      </w:pPr>
    </w:p>
    <w:p>
      <w:pPr>
        <w:pStyle w:val="Heading1"/>
        <w:spacing w:after="160" w:before="360"/>
      </w:pPr>
      <w:r>
        <w:rPr>
          <w:rFonts w:ascii="Arial" w:cs="Arial" w:eastAsia="Arial" w:hAnsi="Arial"/>
          <w:b/>
          <w:bCs/>
          <w:color w:val="2E5090"/>
          <w:sz w:val="32"/>
          <w:szCs w:val="32"/>
        </w:rPr>
        <w:t xml:space="preserve">Final Verdict</w:t>
      </w:r>
    </w:p>
    <w:p>
      <w:pPr>
        <w:spacing w:after="200"/>
      </w:pPr>
      <w:r>
        <w:rPr>
          <w:rFonts w:ascii="Arial" w:cs="Arial" w:eastAsia="Arial" w:hAnsi="Arial"/>
          <w:b/>
          <w:bCs/>
          <w:color w:val="548235"/>
          <w:sz w:val="22"/>
          <w:szCs w:val="22"/>
        </w:rPr>
        <w:t xml:space="preserve">This model is ready for client presentation after the Phase 1 fixes (3–4 hours of work). </w:t>
      </w:r>
    </w:p>
    <w:p>
      <w:pPr>
        <w:spacing w:after="120"/>
      </w:pPr>
      <w:r>
        <w:rPr>
          <w:rFonts w:ascii="Arial" w:cs="Arial" w:eastAsia="Arial" w:hAnsi="Arial"/>
          <w:color w:val="595959"/>
          <w:sz w:val="20"/>
          <w:szCs w:val="20"/>
        </w:rPr>
        <w:t xml:space="preserve">The point ROAS estimates are defensible and support the recommended budget reallocation from traditional to digital channels. The two critical fixes (block bootstrap + weather deviations) are straightforward to implement and will significantly strengthen the model’s credibility. The quick wins (trend test, DW interpretation, confidence tiering) take minutes and round out the diagnostic story.</w:t>
      </w:r>
    </w:p>
    <w:p>
      <w:pPr>
        <w:spacing w:after="120"/>
      </w:pPr>
      <w:r>
        <w:rPr>
          <w:rFonts w:ascii="Arial" w:cs="Arial" w:eastAsia="Arial" w:hAnsi="Arial"/>
          <w:color w:val="595959"/>
          <w:sz w:val="20"/>
          <w:szCs w:val="20"/>
        </w:rPr>
        <w:t xml:space="preserve">For the client meeting, lead with the five wins (TV proven, Preroll potential, 88.5% model fit, budget cut flexibility, $50M controllable revenue). Be transparent about uncertainty—it builds trust. Frame the Radio negative as a measurement limitation, not a business failure. And position the wide CIs as honesty, not weakness.</w:t>
      </w:r>
    </w:p>
    <w:p>
      <w:pPr>
        <w:spacing w:after="120"/>
      </w:pPr>
      <w:r>
        <w:rPr>
          <w:rFonts w:ascii="Arial" w:cs="Arial" w:eastAsia="Arial" w:hAnsi="Arial"/>
          <w:i/>
          <w:iCs/>
          <w:color w:val="2E5090"/>
          <w:sz w:val="20"/>
          <w:szCs w:val="20"/>
        </w:rPr>
        <w:t xml:space="preserve">The model doesn’t need to be perfect. It needs to be honest, defensible, and actionable. After the recommended fixes, it will be all three.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595959"/>
        <w:sz w:val="16"/>
        <w:szCs w:val="16"/>
      </w:rPr>
      <w:t xml:space="preserve">Club Piscine MMM — NB06c Multi-Agent Review</w:t>
    </w:r>
    <w:r>
      <w:rPr>
        <w:rFonts w:ascii="Arial" w:cs="Arial" w:eastAsia="Arial" w:hAnsi="Arial"/>
        <w:color w:val="59595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2026-03-01T07:29:16.915Z</dcterms:created>
  <dcterms:modified xsi:type="dcterms:W3CDTF">2026-03-01T07:29:16.915Z</dcterms:modified>
</cp:coreProperties>
</file>

<file path=docProps/custom.xml><?xml version="1.0" encoding="utf-8"?>
<Properties xmlns="http://schemas.openxmlformats.org/officeDocument/2006/custom-properties" xmlns:vt="http://schemas.openxmlformats.org/officeDocument/2006/docPropsVTypes"/>
</file>