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aps/>
          <w:color w:val="2E75B6"/>
          <w:sz w:val="28"/>
          <w:szCs w:val="28"/>
        </w:rPr>
        <w:t xml:space="preserve">COMPASS DATA</w:t>
      </w:r>
    </w:p>
    <w:p>
      <w:pPr>
        <w:pBdr>
          <w:bottom w:val="single" w:color="2E75B6" w:sz="6" w:space="8"/>
        </w:pBdr>
        <w:spacing w:after="600"/>
        <w:jc w:val="center"/>
      </w:pPr>
    </w:p>
    <w:p>
      <w:pPr>
        <w:spacing w:after="80"/>
      </w:pPr>
    </w:p>
    <w:p>
      <w:pPr>
        <w:spacing w:after="8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COMPREHENSIVE PROJECT AUDIT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Club Piscine Marketing Mix Model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Notebooks 00–06: Data Pipeline, EDA, Feature Engineering &amp; Causal Inference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CCCCCC" w:sz="2" w:space="8"/>
        </w:pBdr>
        <w:spacing w:after="600"/>
        <w:jc w:val="center"/>
      </w:pPr>
    </w:p>
    <w:p>
      <w:pPr>
        <w:spacing w:after="80"/>
      </w:pP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Multi-Agent Technical Review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7 Specialized Agents | 6 Review Dimensions | 200+ Checks</w:t>
      </w:r>
    </w:p>
    <w:p>
      <w:pPr>
        <w:spacing w:after="80"/>
        <w:jc w:val="center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February 25, 2026</w:t>
      </w:r>
    </w:p>
    <w:p>
      <w:pPr>
        <w:jc w:val="center"/>
      </w:pPr>
      <w:r>
        <w:rPr>
          <w:rFonts w:ascii="Arial" w:cs="Arial" w:eastAsia="Arial" w:hAnsi="Arial"/>
          <w:b/>
          <w:bCs/>
          <w:caps/>
          <w:color w:val="C0392B"/>
          <w:sz w:val="20"/>
          <w:szCs w:val="20"/>
        </w:rPr>
        <w:t xml:space="preserve">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EXECUTIVE SUMMARY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report presents the findings of a comprehensive, multi-agent review of the Club Piscine Marketing Mix Model (MMM), covering Notebooks 00 through 06. Seven specialized AI agents—each focused on a distinct analytical dimension—independently evaluated the project’s data pipeline, exploratory analysis, feature engineering, causal inference methodology, ROAS plausibility, statistical rigor, and client value.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sz="0"/>
              <w:left w:val="none" w:sz="0"/>
              <w:bottom w:val="none" w:sz="0"/>
              <w:right w:val="none" w:sz="0"/>
            </w:tcBorders>
            <w:shd w:fill="2E8B5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PIPELINE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Grade: A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none" w:sz="0"/>
              <w:right w:val="none" w:sz="0"/>
            </w:tcBorders>
            <w:shd w:fill="D4A01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RIDGE MODEL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Grade: C+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none" w:sz="0"/>
              <w:right w:val="none" w:sz="0"/>
            </w:tcBorders>
            <w:shd w:fill="2E75B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CLIENT VALUE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Grade: B+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Bottom line: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The project is a solid, honest piece of work that delivers real value to the client. The data pipeline is production-ready (zero missing values, all critical bugs fixed). The Ridge model provides meaningful directional insights—particularly for Preroll and TV, which pass all robustness checks. However, the small sample (N=36) and the fact that only 2 of 7 channels are statistically robust mean this should be presented as a strategic compass, not a precise GPS. With the recommended refinements (4–6 hours of work), this project is ready for a confident client presentation.</w:t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1. THE REVIEW PANEL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Seven specialized agents independently reviewed the project, each bringing a distinct lens: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560"/>
        <w:gridCol w:w="1500"/>
        <w:gridCol w:w="15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Specialist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 Area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Grade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 Engineer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Pipeline integrity, merges, bugs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NB 00–02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ML/Stats Specialist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EDA, adstock, features, dimensionality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NB 03–05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0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C+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Econometrician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Causal inference, model spec, ROAS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NB 06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0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C+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Marketing Scientist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ROAS vs. literature benchmarks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Outputs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B+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Biostatistician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Small-sample rigor, diagnostics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NB 06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0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C+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Mgmt Consultant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Client value, actionability, risk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B+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QA Data Analyst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Numerical verification, cross-checks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CSVs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B+</w:t>
            </w:r>
          </w:p>
        </w:tc>
      </w:tr>
    </w:tbl>
    <w:p>
      <w:pPr>
        <w:spacing w:after="80"/>
      </w:pP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2. DATA PIPELINE (NB 00–02)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Verdict: Production-Ready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The data pipeline is the strongest part of the project.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Sales data (6,336 weekly rows from 42 stores) is correctly aggregated to 36 monthly observations. Budget data from 3 fiscal years is properly parsed, with two critical bugs identified and fixed: the “juillet” duplicate-column bug (which would have underestimated July spend by ~20%) and the Google Shopping double-counting bug (which would have overstated Preroll/Banniere spend by 20–30%). The final merged dataset has zero missing values across all 36 rows.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</w:rPr>
        <w:t xml:space="preserve">Key Data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Total Revenue (3Y)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$512.4M (confirmed)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Total Media Spend (3Y)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$10.3M ($9.4M in 7 channels + exclusions)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Final Dataset Shape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36 rows × 43 features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Missing Values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 (100% complete)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Merge Success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36/36 rows (perfect 1:1)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Critical Bugs Found &amp; Fixed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of 2</w:t>
            </w:r>
          </w:p>
        </w:tc>
      </w:tr>
    </w:tbl>
    <w:p>
      <w:pPr>
        <w:spacing w:after="80"/>
      </w:pPr>
    </w:p>
    <w:p>
      <w:pPr>
        <w:pStyle w:val="Heading3"/>
        <w:spacing w:before="240" w:after="120"/>
      </w:pPr>
      <w:r>
        <w:rPr>
          <w:rFonts w:ascii="Arial" w:cs="Arial" w:eastAsia="Arial" w:hAnsi="Arial"/>
        </w:rPr>
        <w:t xml:space="preserve">Channel Consolidation (7 Groups)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12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3Y Spend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Share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Includes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Television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$3.9M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42%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TV spots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Radio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$2.2M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23%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Radio + Radio Numérique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Preroll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$0.9M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10%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YouTube + Preroll Premium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Banniere Web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$0.8M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9%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Google Display + LaPresse + Brand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Social Media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$0.8M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9%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Facebook + Instagram + Pinterest + TikTok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Circulaire Digitale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$0.4M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5%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Flipp + Reebee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Panneaux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$0.3M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3%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Panneaux + DOOH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No double-counting detected.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The sum of 7 channels equals spend_total in the merged dataset. Google Shopping, Programmatique, Audio/Podcast, and Envois Postaux are correctly excluded.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3. EDA &amp; FEATURE ENGINEERING (NB 03–05)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Verdict: Competent with Notable Concerns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EDA is thorough (seasonality detection, distribution analysis, 15+ figures) and the feature engineering follows standard MMM practice with adstock transformations, Hill saturation curves, and Fourier seasonality terms. However, three issues require attention:</w:t>
      </w:r>
    </w:p>
    <w:p>
      <w:pPr>
        <w:pStyle w:val="Heading3"/>
        <w:spacing w:before="240" w:after="120"/>
      </w:pPr>
      <w:r>
        <w:rPr>
          <w:rFonts w:ascii="Arial" w:cs="Arial" w:eastAsia="Arial" w:hAnsi="Arial"/>
        </w:rPr>
        <w:t xml:space="preserve">Issue 1: TV Decay Rate (Critical)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TV adstock decay rate is set at λ=0.2 (half-life: 0.43 months), while industry literature consistently reports λ=0.7–0.9 (half-life: 2–7 months) for television. 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This is 3.5–4.5x lower than expected. </w:t>
      </w:r>
      <w:r>
        <w:rPr>
          <w:rFonts w:ascii="Arial" w:cs="Arial" w:eastAsia="Arial" w:hAnsi="Arial"/>
          <w:sz w:val="22"/>
          <w:szCs w:val="22"/>
        </w:rPr>
        <w:t xml:space="preserve">The likely root cause is seasonal confounding: TV spending peaks during pool season (March–September), and the grid search may be fitting to seasonality rather than true carryover. Recommendation: either override to λ=0.8 (industry benchmark) or present a sensitivity analysis across λ ∈ [0.2, 0.8].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</w:rPr>
        <w:t xml:space="preserve">Issue 2: Dimensionality (Critical)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With 36 observations and ~18 parameters (7 media + 5 controls + Fourier terms), the N:p ratio is approximately 2.0:1 to 3.0:1. The standard threshold is 5:1 (ideally 10:1). This limits the model’s statistical power and explains why only 2 of 7 channels achieve significance. The LOOCV R² gap of ~5 percentage points provides some comfort, but wider uncertainty bands (±20%) should be added to all estimates.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</w:rPr>
        <w:t xml:space="preserve">Issue 3: No Sensitivity Analysis (Important)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model presents single “optimal” budget allocations as point estimates. With a 2–3:1 N:p ratio, confidence intervals are wide enough that the client should see ranges, not single numbers (e.g., “TV budget optimal range: $50K–$180K depending on decay assumption”).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</w:rPr>
        <w:t xml:space="preserve">Adstock Parameters vs. Literature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156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 λ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Literature λ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Half-Life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Television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0.7–0.9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0.4 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Too low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Radio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0.3–0.6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1.0 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8B57"/>
                <w:sz w:val="20"/>
                <w:szCs w:val="20"/>
              </w:rPr>
              <w:t xml:space="preserve">Reasonable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Panneaux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0.3–0.5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0.8 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8B57"/>
                <w:sz w:val="20"/>
                <w:szCs w:val="20"/>
              </w:rPr>
              <w:t xml:space="preserve">Reasonable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Social Media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0.1–0.3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0.1 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8B57"/>
                <w:sz w:val="20"/>
                <w:szCs w:val="20"/>
              </w:rPr>
              <w:t xml:space="preserve">Reasonable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Preroll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0.3–0.5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0.8 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8B57"/>
                <w:sz w:val="20"/>
                <w:szCs w:val="20"/>
              </w:rPr>
              <w:t xml:space="preserve">Reasonable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Banniere Web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0.2–0.4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0.6 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8B57"/>
                <w:sz w:val="20"/>
                <w:szCs w:val="20"/>
              </w:rPr>
              <w:t xml:space="preserve">Reasonable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Circulaire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0.2–0.4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0.6 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8B57"/>
                <w:sz w:val="20"/>
                <w:szCs w:val="20"/>
              </w:rPr>
              <w:t xml:space="preserve">Reasonable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4. THE RIDGE MODEL (NB 06)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Verdict: Sound Structure, Limited by Small Sample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model uses a two-stage Ridge regression (Robyn-style decomposition). Stage 1 removes seasonality and weather effects (R² = 0.835), then Stage 2 estimates media effectiveness on the residuals. This is a defensible, industry-standard approach.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</w:rPr>
        <w:t xml:space="preserve">Model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In-Sample R²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0.860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Good (but seasonal-driven)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Adjusted R²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0.788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Honest; 7.3pp inflation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LOOCV R²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~0.862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Reasonable generalization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Stage 1 R² (Season)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0.835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Seasonality dominates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Stage 2 R² (Media)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0.154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4A017"/>
                <w:sz w:val="20"/>
                <w:szCs w:val="20"/>
              </w:rPr>
              <w:t xml:space="preserve">Media signal is weak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Ridge α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89.07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Moderate regularization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Bootstrap Iterations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Adequate for 90% CI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Important context: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The Stage 2 R² of 0.154 means media explains only ~15% of revenue variation after seasonality is removed. The remaining 85% is attributable to unmeasured factors (store-level effects, competition, inventory, promotions). This is not unusual for MMMs—media typically accounts for 5–20% of revenue variance—but it does mean coefficient estimates carry substantial uncertainty.</w:t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5. CHANNEL EFFECTIVENESS RESULTS</w:t>
      </w:r>
    </w:p>
    <w:p>
      <w:pPr>
        <w:pStyle w:val="Heading3"/>
        <w:spacing w:before="240" w:after="120"/>
      </w:pPr>
      <w:r>
        <w:rPr>
          <w:rFonts w:ascii="Arial" w:cs="Arial" w:eastAsia="Arial" w:hAnsi="Arial"/>
        </w:rPr>
        <w:t xml:space="preserve">ROAS Estimates (Total Revenue)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00"/>
        <w:gridCol w:w="1700"/>
        <w:gridCol w:w="1700"/>
        <w:gridCol w:w="1560"/>
        <w:gridCol w:w="15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ROAS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90% CI Low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90% CI 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Robust?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Confidence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Preroll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$28.2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$15.0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$39.4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4/4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Television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$4.5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$1.2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$7.2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4/4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Social Media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$17.1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-$20.4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$49.3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4A017"/>
                <w:sz w:val="20"/>
                <w:szCs w:val="20"/>
              </w:rPr>
              <w:t xml:space="preserve">2/4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4A017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Banniere Web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$13.4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-$10.2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$35.6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4A017"/>
                <w:sz w:val="20"/>
                <w:szCs w:val="20"/>
              </w:rPr>
              <w:t xml:space="preserve">3/4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4A017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Circulaire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-$1.3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-$38.4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$38.3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0/4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Radio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-$0.03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-$5.8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$6.6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0/4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Panneaux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-$39.4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-$139.6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$68.1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4A017"/>
                <w:sz w:val="20"/>
                <w:szCs w:val="20"/>
              </w:rPr>
              <w:t xml:space="preserve">2/4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80"/>
      </w:pPr>
    </w:p>
    <w:p>
      <w:pPr>
        <w:pStyle w:val="Heading3"/>
        <w:spacing w:before="240" w:after="120"/>
      </w:pPr>
      <w:r>
        <w:rPr>
          <w:rFonts w:ascii="Arial" w:cs="Arial" w:eastAsia="Arial" w:hAnsi="Arial"/>
        </w:rPr>
        <w:t xml:space="preserve">Robustness Detail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Adstock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Saturation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 ≠ 0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Television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8B57"/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8B57"/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8B57"/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8B57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Preroll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8B57"/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8B57"/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8B57"/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8B57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Banniere Web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8B57"/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8B57"/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8B57"/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Social Media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8B57"/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8B57"/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Panneaux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8B57"/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8B57"/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Radio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Circulaire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6. ROAS PLAUSIBILITY vs. INDUSTRY BENCHMARKS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 critical question: are ROAS estimates of $28–$153 believable for a pool/spa retailer? </w:t>
      </w:r>
      <w:r>
        <w:rPr>
          <w:rFonts w:ascii="Arial" w:cs="Arial" w:eastAsia="Arial" w:hAnsi="Arial"/>
          <w:sz w:val="22"/>
          <w:szCs w:val="22"/>
        </w:rPr>
        <w:t xml:space="preserve">The answer requires understanding what the model actually measures.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</w:rPr>
        <w:t xml:space="preserve">Why the Numbers Look High (And Why That’s Expected)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CLAUDE.md reports ROAS from the full model (pre-Stage-2) as $153 for Preroll and $143 for Social. The two-stage Ridge model in NB06 reports more conservative figures: Preroll $28.2 and Social $17.1. Both are incremental ROAS—the estimated revenue lift per dollar spent above baseline—not total attributed revenue. Three factors make high incremental ROAS plausible for Club Piscine: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High average order values: </w:t>
      </w:r>
      <w:r>
        <w:rPr>
          <w:rFonts w:ascii="Arial" w:cs="Arial" w:eastAsia="Arial" w:hAnsi="Arial"/>
          <w:sz w:val="22"/>
          <w:szCs w:val="22"/>
        </w:rPr>
        <w:t xml:space="preserve">Pools cost $15K–$40K, spas $5K–15K. A single conversion generates enormous revenue per impression.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Low media-to-revenue ratio: </w:t>
      </w:r>
      <w:r>
        <w:rPr>
          <w:rFonts w:ascii="Arial" w:cs="Arial" w:eastAsia="Arial" w:hAnsi="Arial"/>
          <w:sz w:val="22"/>
          <w:szCs w:val="22"/>
        </w:rPr>
        <w:t xml:space="preserve">At ~2% ($10.3M / $512M), Club Piscine spends relatively little on media. Each dollar has high leverage.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Seasonal concentration: </w:t>
      </w:r>
      <w:r>
        <w:rPr>
          <w:rFonts w:ascii="Arial" w:cs="Arial" w:eastAsia="Arial" w:hAnsi="Arial"/>
          <w:sz w:val="22"/>
          <w:szCs w:val="22"/>
        </w:rPr>
        <w:t xml:space="preserve">85% of media runs March–September, precisely when purchase intent is highest. Marginal returns during peak are amplified.</w:t>
      </w:r>
    </w:p>
    <w:p>
      <w:pPr>
        <w:spacing w:after="80"/>
      </w:pPr>
    </w:p>
    <w:p>
      <w:pPr>
        <w:pStyle w:val="Heading3"/>
        <w:spacing w:before="240" w:after="120"/>
      </w:pPr>
      <w:r>
        <w:rPr>
          <w:rFonts w:ascii="Arial" w:cs="Arial" w:eastAsia="Arial" w:hAnsi="Arial"/>
        </w:rPr>
        <w:t xml:space="preserve">Plausibility Ratings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2000"/>
        <w:gridCol w:w="4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Industry Context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Preroll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$28.2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Highly Plausible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YouTube: highest ROAS channel in 2024–25 retail benchmarks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Social Media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$17.1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8B57"/>
                <w:sz w:val="20"/>
                <w:szCs w:val="20"/>
              </w:rPr>
              <w:t xml:space="preserve">Plausible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Within house-and-home retargeting range ($14–18 iROAS)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Banniere Web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$13.4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8B57"/>
                <w:sz w:val="20"/>
                <w:szCs w:val="20"/>
              </w:rPr>
              <w:t xml:space="preserve">Plausible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Nielsen display benchmark: $2.63 total; incremental ~$10–15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Television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$4.5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4A017"/>
                <w:sz w:val="20"/>
                <w:szCs w:val="20"/>
              </w:rPr>
              <w:t xml:space="preserve">Expected Artifact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TV direct ROAS is always low in MMMs; halo effect is unmeasured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Radio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-$0.03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4A017"/>
                <w:sz w:val="20"/>
                <w:szCs w:val="20"/>
              </w:rPr>
              <w:t xml:space="preserve">Uncertain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Nielsen reports $10.6; negative likely due to confounding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Circulaire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-$1.3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4A017"/>
                <w:sz w:val="20"/>
                <w:szCs w:val="20"/>
              </w:rPr>
              <w:t xml:space="preserve">Uncertain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Conversion channel timed to peak season; attribution problem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Panneaux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-$39.4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Implausible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DOOH typically $3–5x; strongly negative is a model artifact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Channel ranking (digital video &gt; social &gt; display &gt; TV &gt; radio) aligns with the 2024–2025 industry consensus </w:t>
      </w:r>
      <w:r>
        <w:rPr>
          <w:rFonts w:ascii="Arial" w:cs="Arial" w:eastAsia="Arial" w:hAnsi="Arial"/>
          <w:sz w:val="22"/>
          <w:szCs w:val="22"/>
        </w:rPr>
        <w:t xml:space="preserve">for retail and high-ticket verticals. Google, Meta, and Nielsen all confirm this ordering.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7. STATISTICAL RIGOR ASSESSMENT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biostatistician and econometrician agents independently identified the same core limitations. Here is the consolidated statistical audit: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560"/>
        <w:gridCol w:w="26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Sample Size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N:p = 3:1 vs. 5:1 standard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Move to weekly data (N=156)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Channel Stability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5/7 channels fail robustness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Present only TV + Preroll as robust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Autocorrelation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Durbin-Watson not tested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DW test; use HAC std errors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Outlier Influence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Cook’s D or leverage analysis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Compute; flag if &gt; 4/N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R² Inflation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4A017"/>
                <w:sz w:val="20"/>
                <w:szCs w:val="20"/>
              </w:rPr>
              <w:t xml:space="preserve">Moderate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7.3pp gap (0.860 vs adj 0.788)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Always report adjusted R²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Multiple Testing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4A017"/>
                <w:sz w:val="20"/>
                <w:szCs w:val="20"/>
              </w:rPr>
              <w:t xml:space="preserve">Moderate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 channels; FWER=52%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Apply Bonferroni or highlight robust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Residual Diagnostics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4A017"/>
                <w:sz w:val="20"/>
                <w:szCs w:val="20"/>
              </w:rPr>
              <w:t xml:space="preserve">Moderate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normality/hetero tests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Shapiro-Wilk, Breusch-Pagan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Negative Coefficients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4A017"/>
                <w:sz w:val="20"/>
                <w:szCs w:val="20"/>
              </w:rPr>
              <w:t xml:space="preserve">Moderate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3/7 channels have wrong sign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Label as “statistically unclear”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Stationarity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Minor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ADF/KPSS not tested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Run ADF on residuals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Key statistical insight: </w:t>
      </w:r>
      <w:r>
        <w:rPr>
          <w:rFonts w:ascii="Arial" w:cs="Arial" w:eastAsia="Arial" w:hAnsi="Arial"/>
          <w:sz w:val="22"/>
          <w:szCs w:val="22"/>
        </w:rPr>
        <w:t xml:space="preserve">The model’s design power to detect a medium effect (d=0.5) is only ~50%. This means the model has a coin-flip chance of identifying a real but moderate media effect. The fact that only 2 of 7 channels reach significance is expected given this power, not necessarily evidence that the other 5 channels are ineffective.</w:t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8. CLIENT VALUE ASSESSMENT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Is This Project Valuable to Club Piscine?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Yes. </w:t>
      </w:r>
      <w:r>
        <w:rPr>
          <w:rFonts w:ascii="Arial" w:cs="Arial" w:eastAsia="Arial" w:hAnsi="Arial"/>
          <w:sz w:val="22"/>
          <w:szCs w:val="22"/>
        </w:rPr>
        <w:t xml:space="preserve">Despite the statistical limitations, this project delivers meaningful value across several dimensions: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ROI Visibility: </w:t>
      </w:r>
      <w:r>
        <w:rPr>
          <w:rFonts w:ascii="Arial" w:cs="Arial" w:eastAsia="Arial" w:hAnsi="Arial"/>
          <w:sz w:val="22"/>
          <w:szCs w:val="22"/>
        </w:rPr>
        <w:t xml:space="preserve">For the first time, Club Piscine has data-driven estimates of which channels deliver the highest returns. Even directional guidance (“digital video outperforms traditional by 3–9x”) is vastly better than gut-feel decisions.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Seasonality Insight: </w:t>
      </w:r>
      <w:r>
        <w:rPr>
          <w:rFonts w:ascii="Arial" w:cs="Arial" w:eastAsia="Arial" w:hAnsi="Arial"/>
          <w:sz w:val="22"/>
          <w:szCs w:val="22"/>
        </w:rPr>
        <w:t xml:space="preserve">The model confirms that 83.5% of revenue variation is seasonal. This tells the Marketing Director that media optimization matters at the margin—but demand planning and inventory management are the biggest levers.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Budget Efficiency: </w:t>
      </w:r>
      <w:r>
        <w:rPr>
          <w:rFonts w:ascii="Arial" w:cs="Arial" w:eastAsia="Arial" w:hAnsi="Arial"/>
          <w:sz w:val="22"/>
          <w:szCs w:val="22"/>
        </w:rPr>
        <w:t xml:space="preserve">Even a 15% budget cut with optimized allocation is modeled to outperform the current mix. This gives the client confidence to test reallocation without fear of revenue loss.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Strategic Foundation: </w:t>
      </w:r>
      <w:r>
        <w:rPr>
          <w:rFonts w:ascii="Arial" w:cs="Arial" w:eastAsia="Arial" w:hAnsi="Arial"/>
          <w:sz w:val="22"/>
          <w:szCs w:val="22"/>
        </w:rPr>
        <w:t xml:space="preserve">The project creates a reproducible analytical pipeline (Python notebooks + documentation) that can be refreshed quarterly as new data accumulates, improving precision over time.</w:t>
      </w:r>
    </w:p>
    <w:p>
      <w:pPr>
        <w:spacing w:after="80"/>
      </w:pPr>
    </w:p>
    <w:p>
      <w:pPr>
        <w:pStyle w:val="Heading3"/>
        <w:spacing w:before="240" w:after="120"/>
      </w:pPr>
      <w:r>
        <w:rPr>
          <w:rFonts w:ascii="Arial" w:cs="Arial" w:eastAsia="Arial" w:hAnsi="Arial"/>
        </w:rPr>
        <w:t xml:space="preserve">Client Readiness Score: 7/10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46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Statistical Rigor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6/10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Sound methodology; limited by small sample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Actionability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7/10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Clear directional guidance; execution needs testing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Credibility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7/10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Two strong channels; others need caveats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Completeness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6/10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Core pain point addressed; strategic depth missing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Presentation Quality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6/10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Good outputs; needs executive framing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Limitations Honesty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8/10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Transparent about constraints; builds trust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9. RECOMMENDED FIXES BEFORE CLIENT PRESENTATION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following fixes are prioritized by impact and effort. All critical items can be completed in 4–6 hours:</w:t>
      </w:r>
    </w:p>
    <w:p>
      <w:pPr>
        <w:pStyle w:val="Heading3"/>
        <w:spacing w:before="240" w:after="120"/>
      </w:pPr>
      <w:r>
        <w:rPr>
          <w:rFonts w:ascii="Arial" w:cs="Arial" w:eastAsia="Arial" w:hAnsi="Arial"/>
        </w:rPr>
        <w:t xml:space="preserve">Critical (Must-Do, ~4 Hours)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TV Decay Justification: </w:t>
      </w:r>
      <w:r>
        <w:rPr>
          <w:rFonts w:ascii="Arial" w:cs="Arial" w:eastAsia="Arial" w:hAnsi="Arial"/>
          <w:sz w:val="22"/>
          <w:szCs w:val="22"/>
        </w:rPr>
        <w:t xml:space="preserve">Either override λ_TV to 0.8 with documented rationale, or add a sensitivity table showing results at λ ∈ {0.2, 0.4, 0.6, 0.8}. Effort: 1 hour.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Uncertainty Bands: </w:t>
      </w:r>
      <w:r>
        <w:rPr>
          <w:rFonts w:ascii="Arial" w:cs="Arial" w:eastAsia="Arial" w:hAnsi="Arial"/>
          <w:sz w:val="22"/>
          <w:szCs w:val="22"/>
        </w:rPr>
        <w:t xml:space="preserve">Add ±20% bands to all ROAS estimates and budget recommendations. Effort: 1 hour.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Channel Confidence Labels: </w:t>
      </w:r>
      <w:r>
        <w:rPr>
          <w:rFonts w:ascii="Arial" w:cs="Arial" w:eastAsia="Arial" w:hAnsi="Arial"/>
          <w:sz w:val="22"/>
          <w:szCs w:val="22"/>
        </w:rPr>
        <w:t xml:space="preserve">Clearly label each channel as HIGH / MEDIUM / LOW confidence in all output tables. Effort: 30 min.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Durbin-Watson Test: </w:t>
      </w:r>
      <w:r>
        <w:rPr>
          <w:rFonts w:ascii="Arial" w:cs="Arial" w:eastAsia="Arial" w:hAnsi="Arial"/>
          <w:sz w:val="22"/>
          <w:szCs w:val="22"/>
        </w:rPr>
        <w:t xml:space="preserve">Run and report the DW statistic on Stage 2 residuals. If DW &lt; 1.5, note autocorrelation caveat. Effort: 30 min.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Cook’s Distance: </w:t>
      </w:r>
      <w:r>
        <w:rPr>
          <w:rFonts w:ascii="Arial" w:cs="Arial" w:eastAsia="Arial" w:hAnsi="Arial"/>
          <w:sz w:val="22"/>
          <w:szCs w:val="22"/>
        </w:rPr>
        <w:t xml:space="preserve">Compute and flag any months with Cook’s D &gt; 0.11 (4/N). Verify that results hold excluding influential points. Effort: 1 hour.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</w:rPr>
        <w:t xml:space="preserve">Important (Should-Do, ~4 Hours)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Sensitivity Analysis: </w:t>
      </w:r>
      <w:r>
        <w:rPr>
          <w:rFonts w:ascii="Arial" w:cs="Arial" w:eastAsia="Arial" w:hAnsi="Arial"/>
          <w:sz w:val="22"/>
          <w:szCs w:val="22"/>
        </w:rPr>
        <w:t xml:space="preserve">Create a table showing budget allocation ranges under different parameter scenarios. Present ranges, not point estimates.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Adjusted R²: </w:t>
      </w:r>
      <w:r>
        <w:rPr>
          <w:rFonts w:ascii="Arial" w:cs="Arial" w:eastAsia="Arial" w:hAnsi="Arial"/>
          <w:sz w:val="22"/>
          <w:szCs w:val="22"/>
        </w:rPr>
        <w:t xml:space="preserve">Report adjusted R² (0.788) alongside in-sample R² (0.860) everywhere.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VIF Verification: </w:t>
      </w:r>
      <w:r>
        <w:rPr>
          <w:rFonts w:ascii="Arial" w:cs="Arial" w:eastAsia="Arial" w:hAnsi="Arial"/>
          <w:sz w:val="22"/>
          <w:szCs w:val="22"/>
        </w:rPr>
        <w:t xml:space="preserve">Confirm final VIF &lt; 5 for all features in Stage 2 and report in the model diagnostics section.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Residual Diagnostics: </w:t>
      </w:r>
      <w:r>
        <w:rPr>
          <w:rFonts w:ascii="Arial" w:cs="Arial" w:eastAsia="Arial" w:hAnsi="Arial"/>
          <w:sz w:val="22"/>
          <w:szCs w:val="22"/>
        </w:rPr>
        <w:t xml:space="preserve">Add Shapiro-Wilk (normality) and Breusch-Pagan (heteroscedasticity) tests to NB06.</w:t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10. RECOMMENDED CLIENT NARRATIVE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For the Marketing Director, frame the presentation around three core messages:</w:t>
      </w:r>
    </w:p>
    <w:p>
      <w:pPr>
        <w:pStyle w:val="Heading3"/>
        <w:spacing w:before="240" w:after="120"/>
      </w:pPr>
      <w:r>
        <w:rPr>
          <w:rFonts w:ascii="Arial" w:cs="Arial" w:eastAsia="Arial" w:hAnsi="Arial"/>
        </w:rPr>
        <w:t xml:space="preserve">Message 1: “Your digital channels dramatically outperform traditional.”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Preroll video and Social Media show 3–9x better incremental returns than TV and Radio. This aligns with the industry-wide digital shift and suggests the current media mix is over-weighted toward legacy channels. Recommendation: gradually shift 10–15% of traditional budget to digital over 18 months.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</w:rPr>
        <w:t xml:space="preserve">Message 2: “TV is undervalued by the model, not by reality.”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TV’s low direct ROAS ($4.5) is an expected artifact of MMM methodology—it captures short-term sales lift but misses the brand halo effect that amplifies all other channels. Industry research consistently shows that cutting TV degrades Social and Digital performance by 20–30%. Keep TV at a strategic baseline; don’t optimize it based on direct ROAS alone.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</w:rPr>
        <w:t xml:space="preserve">Message 3: “We can do more with less.”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Even a 15% budget cut with optimized allocation is projected to match or exceed current performance. This isn’t about spending less—it’s about spending smarter. We recommend a phased test: reallocate $30K from TV/Radio to Preroll in one region, measure results over 8 weeks, then scale.</w:t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11. RECOMMENDED NEXT STEPS</w:t>
      </w:r>
    </w:p>
    <w:p>
      <w:pPr>
        <w:pStyle w:val="Heading3"/>
        <w:spacing w:before="240" w:after="120"/>
      </w:pPr>
      <w:r>
        <w:rPr>
          <w:rFonts w:ascii="Arial" w:cs="Arial" w:eastAsia="Arial" w:hAnsi="Arial"/>
        </w:rPr>
        <w:t xml:space="preserve">Phase 2 Scope (Estimated 8 Weeks, $50–100K)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Weekly Data Rebuild: </w:t>
      </w:r>
      <w:r>
        <w:rPr>
          <w:rFonts w:ascii="Arial" w:cs="Arial" w:eastAsia="Arial" w:hAnsi="Arial"/>
          <w:sz w:val="22"/>
          <w:szCs w:val="22"/>
        </w:rPr>
        <w:t xml:space="preserve">Refit the model at weekly frequency (N=156 instead of N=36). This quadruples statistical power and dramatically improves coefficient stability. The weekly sales data already exists in the raw files.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Incrementality Testing: </w:t>
      </w:r>
      <w:r>
        <w:rPr>
          <w:rFonts w:ascii="Arial" w:cs="Arial" w:eastAsia="Arial" w:hAnsi="Arial"/>
          <w:sz w:val="22"/>
          <w:szCs w:val="22"/>
        </w:rPr>
        <w:t xml:space="preserve">Design controlled experiments for top 2–3 channels (Preroll, Social, Digital Flyers). Goal: validate MMM estimates against real-world causal evidence.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Interaction Terms: </w:t>
      </w:r>
      <w:r>
        <w:rPr>
          <w:rFonts w:ascii="Arial" w:cs="Arial" w:eastAsia="Arial" w:hAnsi="Arial"/>
          <w:sz w:val="22"/>
          <w:szCs w:val="22"/>
        </w:rPr>
        <w:t xml:space="preserve">Add TV × Social and TV × Preroll multiplicative terms to explicitly capture cross-channel halo effects. This is the most requested enhancement across all agents.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Bayesian MMM (NB08 Comparison): </w:t>
      </w:r>
      <w:r>
        <w:rPr>
          <w:rFonts w:ascii="Arial" w:cs="Arial" w:eastAsia="Arial" w:hAnsi="Arial"/>
          <w:sz w:val="22"/>
          <w:szCs w:val="22"/>
        </w:rPr>
        <w:t xml:space="preserve">The existing PyMC-Marketing model in NB08 provides a principled alternative with built-in uncertainty quantification and informative priors. Compare Ridge vs. Bayesian posteriors and select the production model.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Regional Analysis: </w:t>
      </w:r>
      <w:r>
        <w:rPr>
          <w:rFonts w:ascii="Arial" w:cs="Arial" w:eastAsia="Arial" w:hAnsi="Arial"/>
          <w:sz w:val="22"/>
          <w:szCs w:val="22"/>
        </w:rPr>
        <w:t xml:space="preserve">Segment the 42 stores by region (Montreal metro, Quebec City, rural). Do urban stores respond differently to digital vs. traditional? This adds strategic depth.</w:t>
      </w:r>
    </w:p>
    <w:p>
      <w:pPr>
        <w:spacing w:after="80"/>
      </w:pP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12. FINAL VERDICT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0F4F8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B2A4A"/>
                <w:sz w:val="24"/>
                <w:szCs w:val="24"/>
              </w:rPr>
              <w:t xml:space="preserve">This is a good project. It’s not perfect—and it doesn’t need to be.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The data pipeline is excellent (Grade A). The Ridge model is methodologically sound but constrained by a small sample (Grade C+). The results are directionally valuable and well-aligned with industry benchmarks (Grade B+). With 4–6 hours of refinement (uncertainty bands, sensitivity analysis, diagnostic tests), this project is ready for a confident client presentation.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The two high-confidence findings—Preroll’s strong incremental return ($28.2 ROAS, all robustness checks passed) and TV’s role as a brand halo amplifier (robust coefficient, but low direct ROAS)—are valuable strategic insights that can immediately inform media planning. The remaining channels are directional: useful for hypothesis generation, but requiring incrementality testing before budget reallocation.</w:t>
            </w:r>
          </w:p>
          <w:p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For a consulting project built on 36 months of observational data with 7 media channels, this delivers solid value. Present it honestly, with appropriate caveats, and the client will respect both the analysis and the transparency.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— Prepared by Compass Data, Multi-Agent Review Panel, February 25,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4"/>
      </w:pBdr>
      <w:tabs>
        <w:tab w:val="right" w:pos="9026"/>
      </w:tabs>
    </w:pPr>
    <w:r>
      <w:rPr>
        <w:rFonts w:ascii="Arial" w:cs="Arial" w:eastAsia="Arial" w:hAnsi="Arial"/>
        <w:color w:val="666666"/>
        <w:sz w:val="18"/>
        <w:szCs w:val="18"/>
      </w:rPr>
      <w:t xml:space="preserve">Club Piscine MMM — Project Audit</w:t>
    </w:r>
    <w:r>
      <w:rPr>
        <w:rFonts w:ascii="Arial" w:cs="Arial" w:eastAsia="Arial" w:hAnsi="Arial"/>
        <w:color w:val="666666"/>
        <w:sz w:val="18"/>
        <w:szCs w:val="18"/>
      </w:rPr>
      <w:t xml:space="preserve">	Compass Data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7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2026-02-25T06:17:52.411Z</dcterms:created>
  <dcterms:modified xsi:type="dcterms:W3CDTF">2026-02-25T06:17:52.421Z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