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CLUB PISCINE</w:t>
      </w:r>
    </w:p>
    <w:p>
      <w:pPr>
        <w:spacing w:after="100"/>
        <w:jc w:val="center"/>
      </w:pPr>
      <w:r>
        <w:rPr>
          <w:rFonts w:ascii="Arial" w:cs="Arial" w:eastAsia="Arial" w:hAnsi="Arial"/>
          <w:color w:val="2E75B6"/>
          <w:sz w:val="40"/>
          <w:szCs w:val="40"/>
        </w:rPr>
        <w:t xml:space="preserve">Marketing Mix Model (MMM)</w:t>
      </w:r>
    </w:p>
    <w:p>
      <w:pPr>
        <w:spacing w:after="600"/>
        <w:jc w:val="center"/>
      </w:pPr>
      <w:r>
        <w:rPr>
          <w:rFonts w:ascii="Arial" w:cs="Arial" w:eastAsia="Arial" w:hAnsi="Arial"/>
          <w:color w:val="7F8C8D"/>
          <w:sz w:val="28"/>
          <w:szCs w:val="28"/>
        </w:rPr>
        <w:t xml:space="preserve">Comprehensive Pipeline Evaluation Report</w:t>
      </w:r>
    </w:p>
    <w:p>
      <w:pPr>
        <w:pBdr>
          <w:bottom w:val="single" w:color="2E75B6" w:sz="6" w:space="1"/>
        </w:pBdr>
        <w:spacing w:after="0"/>
        <w:jc w:val="center"/>
      </w:pPr>
    </w:p>
    <w:p>
      <w:pPr>
        <w:spacing w:before="600"/>
      </w:pPr>
    </w:p>
    <w:p>
      <w:pPr>
        <w:spacing w:after="100"/>
        <w:jc w:val="center"/>
      </w:pPr>
      <w:r>
        <w:rPr>
          <w:rFonts w:ascii="Arial" w:cs="Arial" w:eastAsia="Arial" w:hAnsi="Arial"/>
          <w:color w:val="555555"/>
          <w:sz w:val="22"/>
          <w:szCs w:val="22"/>
        </w:rPr>
        <w:t xml:space="preserve">Prepared for: Marketing Director &amp; Internal Media Agency</w:t>
      </w:r>
    </w:p>
    <w:p>
      <w:pPr>
        <w:spacing w:after="100"/>
        <w:jc w:val="center"/>
      </w:pPr>
      <w:r>
        <w:rPr>
          <w:rFonts w:ascii="Arial" w:cs="Arial" w:eastAsia="Arial" w:hAnsi="Arial"/>
          <w:color w:val="555555"/>
          <w:sz w:val="22"/>
          <w:szCs w:val="22"/>
        </w:rPr>
        <w:t xml:space="preserve">Date: March 6, 2026</w:t>
      </w:r>
    </w:p>
    <w:p>
      <w:pPr>
        <w:spacing w:after="100"/>
        <w:jc w:val="center"/>
      </w:pPr>
      <w:r>
        <w:rPr>
          <w:rFonts w:ascii="Arial" w:cs="Arial" w:eastAsia="Arial" w:hAnsi="Arial"/>
          <w:color w:val="555555"/>
          <w:sz w:val="22"/>
          <w:szCs w:val="22"/>
        </w:rPr>
        <w:t xml:space="preserve">Scope: Full pipeline review (NB00–NB08) with literature benchmarking</w:t>
      </w:r>
    </w:p>
    <w:p>
      <w:pPr>
        <w:spacing w:after="100"/>
        <w:jc w:val="center"/>
      </w:pPr>
      <w:r>
        <w:rPr>
          <w:rFonts w:ascii="Arial" w:cs="Arial" w:eastAsia="Arial" w:hAnsi="Arial"/>
          <w:b/>
          <w:bCs/>
          <w:color w:val="C0392B"/>
          <w:sz w:val="22"/>
          <w:szCs w:val="22"/>
        </w:rPr>
        <w:t xml:space="preserve">Classification: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jc w:val="left"/>
      </w:pPr>
      <w:r>
        <w:rPr>
          <w:rFonts w:ascii="Arial" w:cs="Arial" w:eastAsia="Arial" w:hAnsi="Arial"/>
          <w:color w:val="333333"/>
          <w:sz w:val="21"/>
          <w:szCs w:val="21"/>
        </w:rPr>
        <w:t xml:space="preserve">This report presents a comprehensive evaluation of the Club Piscine Marketing Mix Model (MMM) pipeline, covering all notebooks (NB00 through NB08), the supporting codebase, and the optimization framework. The evaluation benchmarks the project against three leading open-source MMM frameworks (Google Meridian, Meta Robyn, and PyMC-Marketing) and current academic literature.</w:t>
      </w:r>
    </w:p>
    <w:p>
      <w:pPr>
        <w:pStyle w:val="Heading2"/>
        <w:spacing w:after="160" w:before="280"/>
      </w:pPr>
      <w:r>
        <w:rPr>
          <w:rFonts w:ascii="Arial" w:cs="Arial" w:eastAsia="Arial" w:hAnsi="Arial"/>
          <w:b/>
          <w:bCs/>
          <w:color w:val="2E75B6"/>
          <w:sz w:val="26"/>
          <w:szCs w:val="26"/>
        </w:rPr>
        <w:t xml:space="preserve">1.1 Overall Assessment</w:t>
      </w:r>
    </w:p>
    <w:p>
      <w:pPr>
        <w:spacing w:after="120"/>
        <w:jc w:val="left"/>
      </w:pPr>
      <w:r>
        <w:rPr>
          <w:rFonts w:ascii="Arial" w:cs="Arial" w:eastAsia="Arial" w:hAnsi="Arial"/>
          <w:color w:val="333333"/>
          <w:sz w:val="21"/>
          <w:szCs w:val="21"/>
        </w:rPr>
        <w:t xml:space="preserve">The project demonstrates </w:t>
      </w:r>
      <w:r>
        <w:rPr>
          <w:rFonts w:ascii="Arial" w:cs="Arial" w:eastAsia="Arial" w:hAnsi="Arial"/>
          <w:b/>
          <w:bCs/>
          <w:color w:val="333333"/>
          <w:sz w:val="21"/>
          <w:szCs w:val="21"/>
        </w:rPr>
        <w:t xml:space="preserve">solid statistical foundations</w:t>
      </w:r>
      <w:r>
        <w:rPr>
          <w:rFonts w:ascii="Arial" w:cs="Arial" w:eastAsia="Arial" w:hAnsi="Arial"/>
          <w:color w:val="333333"/>
          <w:sz w:val="21"/>
          <w:szCs w:val="21"/>
        </w:rPr>
        <w:t xml:space="preserve"> with a defensible two-stage Ridge regression approach, proper time-series cross-validation, and comprehensive robustness checks. The documentation (CLAUDE.md) is exceptionally thorough. However, the model operates under </w:t>
      </w:r>
      <w:r>
        <w:rPr>
          <w:rFonts w:ascii="Arial" w:cs="Arial" w:eastAsia="Arial" w:hAnsi="Arial"/>
          <w:b/>
          <w:bCs/>
          <w:color w:val="C0392B"/>
          <w:sz w:val="21"/>
          <w:szCs w:val="21"/>
        </w:rPr>
        <w:t xml:space="preserve">severe constraints</w:t>
      </w:r>
      <w:r>
        <w:rPr>
          <w:rFonts w:ascii="Arial" w:cs="Arial" w:eastAsia="Arial" w:hAnsi="Arial"/>
          <w:color w:val="333333"/>
          <w:sz w:val="21"/>
          <w:szCs w:val="21"/>
        </w:rPr>
        <w:t xml:space="preserve"> that limit its reliability for high-stakes budget decisions, most notably the critically small sample size (N=36) and weak media signal in Stage 2 residuals (R²=0.15).</w:t>
      </w:r>
    </w:p>
    <w:p>
      <w:pPr>
        <w:pStyle w:val="Heading2"/>
        <w:spacing w:after="160" w:before="280"/>
      </w:pPr>
      <w:r>
        <w:rPr>
          <w:rFonts w:ascii="Arial" w:cs="Arial" w:eastAsia="Arial" w:hAnsi="Arial"/>
          <w:b/>
          <w:bCs/>
          <w:color w:val="2E75B6"/>
          <w:sz w:val="26"/>
          <w:szCs w:val="26"/>
        </w:rPr>
        <w:t xml:space="preserve">1.2 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Metric</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Assessment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Full Model R²</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0.859</w:t>
            </w:r>
          </w:p>
        </w:tc>
        <w:tc>
          <w:tcPr>
            <w:tcW w:type="dxa" w:w="2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Good fit overall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Stage 1 R² (Seasonal)</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0.827</w:t>
            </w:r>
          </w:p>
        </w:tc>
        <w:tc>
          <w:tcPr>
            <w:tcW w:type="dxa" w:w="2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Strong seasonal capture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Stage 2 R² (Media)</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0.149</w:t>
            </w:r>
          </w:p>
        </w:tc>
        <w:tc>
          <w:tcPr>
            <w:tcW w:type="dxa" w:w="26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Weak media signal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Sample Size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N=36 months</w:t>
            </w:r>
          </w:p>
        </w:tc>
        <w:tc>
          <w:tcPr>
            <w:tcW w:type="dxa" w:w="26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Below 5:1 minimum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Parameter Count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14 (ratio 2.6:1)</w:t>
            </w:r>
          </w:p>
        </w:tc>
        <w:tc>
          <w:tcPr>
            <w:tcW w:type="dxa" w:w="26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Severely underpowered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Media Revenue Share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10.9% ($55.7M / $512.4M)</w:t>
            </w:r>
          </w:p>
        </w:tc>
        <w:tc>
          <w:tcPr>
            <w:tcW w:type="dxa" w:w="2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Plausible for retail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Channels with ROAS=0</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 of 7 (Radio, Panneaux, Circulaire)</w:t>
            </w:r>
          </w:p>
        </w:tc>
        <w:tc>
          <w:tcPr>
            <w:tcW w:type="dxa" w:w="2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Likely shrinkage artifact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Weekly Data Available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156 observations (unused)</w:t>
            </w:r>
          </w:p>
        </w:tc>
        <w:tc>
          <w:tcPr>
            <w:tcW w:type="dxa" w:w="26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Major missed opportunity</w:t>
            </w:r>
          </w:p>
        </w:tc>
      </w:tr>
    </w:tbl>
    <w:p>
      <w:pPr>
        <w:spacing w:after="120"/>
        <w:jc w:val="left"/>
      </w:pPr>
      <w:r>
        <w:rPr>
          <w:rFonts w:ascii="Arial" w:cs="Arial" w:eastAsia="Arial" w:hAnsi="Arial"/>
          <w:color w:val="333333"/>
          <w:sz w:val="21"/>
          <w:szCs w:val="21"/>
        </w:rPr>
        <w:t xml:space="preserve"/>
      </w:r>
    </w:p>
    <w:p>
      <w:pPr>
        <w:pStyle w:val="Heading2"/>
        <w:spacing w:after="160" w:before="280"/>
      </w:pPr>
      <w:r>
        <w:rPr>
          <w:rFonts w:ascii="Arial" w:cs="Arial" w:eastAsia="Arial" w:hAnsi="Arial"/>
          <w:b/>
          <w:bCs/>
          <w:color w:val="2E75B6"/>
          <w:sz w:val="26"/>
          <w:szCs w:val="26"/>
        </w:rPr>
        <w:t xml:space="preserve">1.3 Critical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200"/>
        <w:gridCol w:w="396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Severity</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Impact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Sample size N=36 with 14 parameters (2.6:1 ratio)</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CRITICAL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High estimation variance; results unreliable for budget decisions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Weekly data (N=156) available but unused</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CRITICAL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77% of temporal information discarded unnecessarily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Non-negative constraint masks confounding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CRITICAL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 channels forced to ROAS=0 instead of investigating root cause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TV decay rate 36x faster than literature</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HIGH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TV carryover underestimated; halo effect not captured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No interaction terms for TV halo</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HIGH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Client narrative contradicts model structure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Weather features cause VIF&gt;30 multicollinearity</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HIGH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Absolute values collinear with Fourier; use deviations instead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Optimization claims +21.4% lift (likely overstated)</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HIGH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Realistic range is 5–15%; sensitivity analysis needed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No experimental calibration (geo-lift)</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MEDIUM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Cannot ground-truth ROAS estimates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Spend-only inputs (no impressions/GRPs)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MEDIUM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Conflates price changes with media effectiveness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Missing business calendar (holidays, promos)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MEDIUM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COVID, Easter, Victoria Day effects unmodeled</w:t>
            </w:r>
          </w:p>
        </w:tc>
      </w:tr>
    </w:tbl>
    <w:p>
      <w:r>
        <w:br w:type="page"/>
      </w:r>
    </w:p>
    <w:p>
      <w:pPr>
        <w:pStyle w:val="Heading1"/>
        <w:spacing w:after="200" w:before="360"/>
      </w:pPr>
      <w:r>
        <w:rPr>
          <w:rFonts w:ascii="Arial" w:cs="Arial" w:eastAsia="Arial" w:hAnsi="Arial"/>
          <w:b/>
          <w:bCs/>
          <w:color w:val="1B3A5C"/>
          <w:sz w:val="32"/>
          <w:szCs w:val="32"/>
        </w:rPr>
        <w:t xml:space="preserve">2. Data Pipeline Evaluation (NB00–NB02)</w:t>
      </w:r>
    </w:p>
    <w:p>
      <w:pPr>
        <w:pStyle w:val="Heading2"/>
        <w:spacing w:after="160" w:before="280"/>
      </w:pPr>
      <w:r>
        <w:rPr>
          <w:rFonts w:ascii="Arial" w:cs="Arial" w:eastAsia="Arial" w:hAnsi="Arial"/>
          <w:b/>
          <w:bCs/>
          <w:color w:val="2E75B6"/>
          <w:sz w:val="26"/>
          <w:szCs w:val="26"/>
        </w:rPr>
        <w:t xml:space="preserve">2.1 Setup &amp; Environment (NB00)</w:t>
      </w:r>
    </w:p>
    <w:p>
      <w:pPr>
        <w:spacing w:after="120"/>
        <w:jc w:val="left"/>
      </w:pPr>
      <w:r>
        <w:rPr>
          <w:rFonts w:ascii="Arial" w:cs="Arial" w:eastAsia="Arial" w:hAnsi="Arial"/>
          <w:color w:val="333333"/>
          <w:sz w:val="21"/>
          <w:szCs w:val="21"/>
        </w:rPr>
        <w:t xml:space="preserve">The setup notebook establishes the project structure, dependencies, and file paths. The project uses a standard data science layout with raw/interim/processed data directories and a src/ module for shared code.</w:t>
      </w:r>
    </w:p>
    <w:p>
      <w:pPr>
        <w:pStyle w:val="ListParagraph"/>
        <w:numPr>
          <w:ilvl w:val="0"/>
          <w:numId w:val="2"/>
        </w:numPr>
        <w:spacing w:after="60"/>
      </w:pPr>
      <w:r>
        <w:rPr>
          <w:rFonts w:ascii="Arial" w:cs="Arial" w:eastAsia="Arial" w:hAnsi="Arial"/>
          <w:b/>
          <w:bCs/>
          <w:color w:val="333333"/>
          <w:sz w:val="21"/>
          <w:szCs w:val="21"/>
        </w:rPr>
        <w:t xml:space="preserve">Positive: </w:t>
      </w:r>
      <w:r>
        <w:rPr>
          <w:rFonts w:ascii="Arial" w:cs="Arial" w:eastAsia="Arial" w:hAnsi="Arial"/>
          <w:color w:val="333333"/>
          <w:sz w:val="21"/>
          <w:szCs w:val="21"/>
        </w:rPr>
        <w:t xml:space="preserve">Clear separation of concerns, reproducible paths via project_root</w:t>
      </w:r>
    </w:p>
    <w:p>
      <w:pPr>
        <w:pStyle w:val="ListParagraph"/>
        <w:numPr>
          <w:ilvl w:val="0"/>
          <w:numId w:val="2"/>
        </w:numPr>
        <w:spacing w:after="60"/>
      </w:pPr>
      <w:r>
        <w:rPr>
          <w:rFonts w:ascii="Arial" w:cs="Arial" w:eastAsia="Arial" w:hAnsi="Arial"/>
          <w:b/>
          <w:bCs/>
          <w:color w:val="C0392B"/>
          <w:sz w:val="21"/>
          <w:szCs w:val="21"/>
        </w:rPr>
        <w:t xml:space="preserve">Issue: </w:t>
      </w:r>
      <w:r>
        <w:rPr>
          <w:rFonts w:ascii="Arial" w:cs="Arial" w:eastAsia="Arial" w:hAnsi="Arial"/>
          <w:color w:val="333333"/>
          <w:sz w:val="21"/>
          <w:szCs w:val="21"/>
        </w:rPr>
        <w:t xml:space="preserve">config/params.yaml contains a Python script that generates YAML rather than actual YAML. Will fail with yaml.load()</w:t>
      </w:r>
    </w:p>
    <w:p>
      <w:pPr>
        <w:pStyle w:val="ListParagraph"/>
        <w:numPr>
          <w:ilvl w:val="0"/>
          <w:numId w:val="2"/>
        </w:numPr>
        <w:spacing w:after="60"/>
      </w:pPr>
      <w:r>
        <w:rPr>
          <w:rFonts w:ascii="Arial" w:cs="Arial" w:eastAsia="Arial" w:hAnsi="Arial"/>
          <w:b/>
          <w:bCs/>
          <w:color w:val="C0392B"/>
          <w:sz w:val="21"/>
          <w:szCs w:val="21"/>
        </w:rPr>
        <w:t xml:space="preserve">Issue: </w:t>
      </w:r>
      <w:r>
        <w:rPr>
          <w:rFonts w:ascii="Arial" w:cs="Arial" w:eastAsia="Arial" w:hAnsi="Arial"/>
          <w:color w:val="333333"/>
          <w:sz w:val="21"/>
          <w:szCs w:val="21"/>
        </w:rPr>
        <w:t xml:space="preserve">.venv committed to git (repository bloat); no requirements-lock.txt for reproducibility</w:t>
      </w:r>
    </w:p>
    <w:p>
      <w:pPr>
        <w:pStyle w:val="Heading2"/>
        <w:spacing w:after="160" w:before="280"/>
      </w:pPr>
      <w:r>
        <w:rPr>
          <w:rFonts w:ascii="Arial" w:cs="Arial" w:eastAsia="Arial" w:hAnsi="Arial"/>
          <w:b/>
          <w:bCs/>
          <w:color w:val="2E75B6"/>
          <w:sz w:val="26"/>
          <w:szCs w:val="26"/>
        </w:rPr>
        <w:t xml:space="preserve">2.2 Data Audit (NB01)</w:t>
      </w:r>
    </w:p>
    <w:p>
      <w:pPr>
        <w:spacing w:after="120"/>
        <w:jc w:val="left"/>
      </w:pPr>
      <w:r>
        <w:rPr>
          <w:rFonts w:ascii="Arial" w:cs="Arial" w:eastAsia="Arial" w:hAnsi="Arial"/>
          <w:color w:val="333333"/>
          <w:sz w:val="21"/>
          <w:szCs w:val="21"/>
        </w:rPr>
        <w:t xml:space="preserve">The audit notebook inspects raw data schemas, validates column names, and generates interim preview CSVs. Sales data contains 6,336 weekly rows from 42 stores across 3 fiscal years.</w:t>
      </w:r>
    </w:p>
    <w:p>
      <w:pPr>
        <w:pStyle w:val="ListParagraph"/>
        <w:numPr>
          <w:ilvl w:val="0"/>
          <w:numId w:val="2"/>
        </w:numPr>
        <w:spacing w:after="60"/>
      </w:pPr>
      <w:r>
        <w:rPr>
          <w:rFonts w:ascii="Arial" w:cs="Arial" w:eastAsia="Arial" w:hAnsi="Arial"/>
          <w:b/>
          <w:bCs/>
          <w:color w:val="333333"/>
          <w:sz w:val="21"/>
          <w:szCs w:val="21"/>
        </w:rPr>
        <w:t xml:space="preserve">Positive: </w:t>
      </w:r>
      <w:r>
        <w:rPr>
          <w:rFonts w:ascii="Arial" w:cs="Arial" w:eastAsia="Arial" w:hAnsi="Arial"/>
          <w:color w:val="333333"/>
          <w:sz w:val="21"/>
          <w:szCs w:val="21"/>
        </w:rPr>
        <w:t xml:space="preserve">Comprehensive schema validation for sales and budget files</w:t>
      </w:r>
    </w:p>
    <w:p>
      <w:pPr>
        <w:pStyle w:val="ListParagraph"/>
        <w:numPr>
          <w:ilvl w:val="0"/>
          <w:numId w:val="2"/>
        </w:numPr>
        <w:spacing w:after="60"/>
      </w:pPr>
      <w:r>
        <w:rPr>
          <w:rFonts w:ascii="Arial" w:cs="Arial" w:eastAsia="Arial" w:hAnsi="Arial"/>
          <w:b/>
          <w:bCs/>
          <w:color w:val="E67E22"/>
          <w:sz w:val="21"/>
          <w:szCs w:val="21"/>
        </w:rPr>
        <w:t xml:space="preserve">Issue: </w:t>
      </w:r>
      <w:r>
        <w:rPr>
          <w:rFonts w:ascii="Arial" w:cs="Arial" w:eastAsia="Arial" w:hAnsi="Arial"/>
          <w:color w:val="333333"/>
          <w:sz w:val="21"/>
          <w:szCs w:val="21"/>
        </w:rPr>
        <w:t xml:space="preserve">No explicit data quality assertions (total revenue = $512.4M, exactly 6 categories, ME+GA combined)</w:t>
      </w:r>
    </w:p>
    <w:p>
      <w:pPr>
        <w:pStyle w:val="Heading2"/>
        <w:spacing w:after="160" w:before="280"/>
      </w:pPr>
      <w:r>
        <w:rPr>
          <w:rFonts w:ascii="Arial" w:cs="Arial" w:eastAsia="Arial" w:hAnsi="Arial"/>
          <w:b/>
          <w:bCs/>
          <w:color w:val="2E75B6"/>
          <w:sz w:val="26"/>
          <w:szCs w:val="26"/>
        </w:rPr>
        <w:t xml:space="preserve">2.3 Data Cleaning (NB02)</w:t>
      </w:r>
    </w:p>
    <w:p>
      <w:pPr>
        <w:spacing w:after="120"/>
        <w:jc w:val="left"/>
      </w:pPr>
      <w:r>
        <w:rPr>
          <w:rFonts w:ascii="Arial" w:cs="Arial" w:eastAsia="Arial" w:hAnsi="Arial"/>
          <w:color w:val="333333"/>
          <w:sz w:val="21"/>
          <w:szCs w:val="21"/>
        </w:rPr>
        <w:t xml:space="preserve">The cleaning notebook aggregates weekly store-level data to monthly national totals, aligns fiscal years, consolidates media channels from 15+ to 7 groups, and handles the budget "juillet" bug.</w:t>
      </w:r>
    </w:p>
    <w:p>
      <w:pPr>
        <w:pStyle w:val="ListParagraph"/>
        <w:numPr>
          <w:ilvl w:val="0"/>
          <w:numId w:val="2"/>
        </w:numPr>
        <w:spacing w:after="60"/>
      </w:pPr>
      <w:r>
        <w:rPr>
          <w:rFonts w:ascii="Arial" w:cs="Arial" w:eastAsia="Arial" w:hAnsi="Arial"/>
          <w:b/>
          <w:bCs/>
          <w:color w:val="333333"/>
          <w:sz w:val="21"/>
          <w:szCs w:val="21"/>
        </w:rPr>
        <w:t xml:space="preserve">Positive: </w:t>
      </w:r>
      <w:r>
        <w:rPr>
          <w:rFonts w:ascii="Arial" w:cs="Arial" w:eastAsia="Arial" w:hAnsi="Arial"/>
          <w:color w:val="333333"/>
          <w:sz w:val="21"/>
          <w:szCs w:val="21"/>
        </w:rPr>
        <w:t xml:space="preserve">Fiscal year alignment correctly implemented (Nov 1 boundary)</w:t>
      </w:r>
    </w:p>
    <w:p>
      <w:pPr>
        <w:pStyle w:val="ListParagraph"/>
        <w:numPr>
          <w:ilvl w:val="0"/>
          <w:numId w:val="2"/>
        </w:numPr>
        <w:spacing w:after="60"/>
      </w:pPr>
      <w:r>
        <w:rPr>
          <w:rFonts w:ascii="Arial" w:cs="Arial" w:eastAsia="Arial" w:hAnsi="Arial"/>
          <w:b/>
          <w:bCs/>
          <w:color w:val="333333"/>
          <w:sz w:val="21"/>
          <w:szCs w:val="21"/>
        </w:rPr>
        <w:t xml:space="preserve">Positive: </w:t>
      </w:r>
      <w:r>
        <w:rPr>
          <w:rFonts w:ascii="Arial" w:cs="Arial" w:eastAsia="Arial" w:hAnsi="Arial"/>
          <w:color w:val="333333"/>
          <w:sz w:val="21"/>
          <w:szCs w:val="21"/>
        </w:rPr>
        <w:t xml:space="preserve">Budget totals corrected from $8.88M to $10.26M (event sub-columns fixed)</w:t>
      </w:r>
    </w:p>
    <w:p>
      <w:pPr>
        <w:pStyle w:val="ListParagraph"/>
        <w:numPr>
          <w:ilvl w:val="0"/>
          <w:numId w:val="2"/>
        </w:numPr>
        <w:spacing w:after="60"/>
      </w:pPr>
      <w:r>
        <w:rPr>
          <w:rFonts w:ascii="Arial" w:cs="Arial" w:eastAsia="Arial" w:hAnsi="Arial"/>
          <w:b/>
          <w:bCs/>
          <w:color w:val="E67E22"/>
          <w:sz w:val="21"/>
          <w:szCs w:val="21"/>
        </w:rPr>
        <w:t xml:space="preserve">Issue: </w:t>
      </w:r>
      <w:r>
        <w:rPr>
          <w:rFonts w:ascii="Arial" w:cs="Arial" w:eastAsia="Arial" w:hAnsi="Arial"/>
          <w:color w:val="333333"/>
          <w:sz w:val="21"/>
          <w:szCs w:val="21"/>
        </w:rPr>
        <w:t xml:space="preserve">Aggregation from weekly to monthly discards 77% of temporal information (156 → 36 observations)</w:t>
      </w:r>
    </w:p>
    <w:p>
      <w:pPr>
        <w:pStyle w:val="ListParagraph"/>
        <w:numPr>
          <w:ilvl w:val="0"/>
          <w:numId w:val="2"/>
        </w:numPr>
        <w:spacing w:after="60"/>
      </w:pPr>
      <w:r>
        <w:rPr>
          <w:rFonts w:ascii="Arial" w:cs="Arial" w:eastAsia="Arial" w:hAnsi="Arial"/>
          <w:b/>
          <w:bCs/>
          <w:color w:val="2E75B6"/>
          <w:sz w:val="21"/>
          <w:szCs w:val="21"/>
        </w:rPr>
        <w:t xml:space="preserve">Recommendation: </w:t>
      </w:r>
      <w:r>
        <w:rPr>
          <w:rFonts w:ascii="Arial" w:cs="Arial" w:eastAsia="Arial" w:hAnsi="Arial"/>
          <w:color w:val="333333"/>
          <w:sz w:val="21"/>
          <w:szCs w:val="21"/>
        </w:rPr>
        <w:t xml:space="preserve">Preserve weekly granularity as an option for downstream modeling (ratio improves from 2.6:1 to 11:1)</w:t>
      </w:r>
    </w:p>
    <w:p>
      <w:pPr>
        <w:pStyle w:val="Heading2"/>
        <w:spacing w:after="160" w:before="280"/>
      </w:pPr>
      <w:r>
        <w:rPr>
          <w:rFonts w:ascii="Arial" w:cs="Arial" w:eastAsia="Arial" w:hAnsi="Arial"/>
          <w:b/>
          <w:bCs/>
          <w:color w:val="2E75B6"/>
          <w:sz w:val="26"/>
          <w:szCs w:val="26"/>
        </w:rPr>
        <w:t xml:space="preserve">2.4 Data Pipeline Verdict</w:t>
      </w:r>
    </w:p>
    <w:p>
      <w:pPr>
        <w:spacing w:after="120"/>
        <w:jc w:val="left"/>
      </w:pPr>
      <w:r>
        <w:rPr>
          <w:rFonts w:ascii="Arial" w:cs="Arial" w:eastAsia="Arial" w:hAnsi="Arial"/>
          <w:b/>
          <w:bCs/>
          <w:color w:val="27AE60"/>
          <w:sz w:val="21"/>
          <w:szCs w:val="21"/>
        </w:rPr>
        <w:t xml:space="preserve">Grade: B+</w:t>
      </w:r>
      <w:r>
        <w:rPr>
          <w:rFonts w:ascii="Arial" w:cs="Arial" w:eastAsia="Arial" w:hAnsi="Arial"/>
          <w:color w:val="333333"/>
          <w:sz w:val="21"/>
          <w:szCs w:val="21"/>
        </w:rPr>
        <w:t xml:space="preserve"> — Solid fundamentals with proper fiscal year handling and budget corrections. Key gaps: missing data quality assertions, weekly data aggregated away prematurely, config file format issue.</w:t>
      </w:r>
    </w:p>
    <w:p>
      <w:r>
        <w:br w:type="page"/>
      </w:r>
    </w:p>
    <w:p>
      <w:pPr>
        <w:pStyle w:val="Heading1"/>
        <w:spacing w:after="200" w:before="360"/>
      </w:pPr>
      <w:r>
        <w:rPr>
          <w:rFonts w:ascii="Arial" w:cs="Arial" w:eastAsia="Arial" w:hAnsi="Arial"/>
          <w:b/>
          <w:bCs/>
          <w:color w:val="1B3A5C"/>
          <w:sz w:val="32"/>
          <w:szCs w:val="32"/>
        </w:rPr>
        <w:t xml:space="preserve">3. Exploratory Analysis &amp; External Data (NB03–NB04)</w:t>
      </w:r>
    </w:p>
    <w:p>
      <w:pPr>
        <w:pStyle w:val="Heading2"/>
        <w:spacing w:after="160" w:before="280"/>
      </w:pPr>
      <w:r>
        <w:rPr>
          <w:rFonts w:ascii="Arial" w:cs="Arial" w:eastAsia="Arial" w:hAnsi="Arial"/>
          <w:b/>
          <w:bCs/>
          <w:color w:val="2E75B6"/>
          <w:sz w:val="26"/>
          <w:szCs w:val="26"/>
        </w:rPr>
        <w:t xml:space="preserve">3.1 EDA Quality (NB03)</w:t>
      </w:r>
    </w:p>
    <w:p>
      <w:pPr>
        <w:spacing w:after="120"/>
        <w:jc w:val="left"/>
      </w:pPr>
      <w:r>
        <w:rPr>
          <w:rFonts w:ascii="Arial" w:cs="Arial" w:eastAsia="Arial" w:hAnsi="Arial"/>
          <w:color w:val="333333"/>
          <w:sz w:val="21"/>
          <w:szCs w:val="21"/>
        </w:rPr>
        <w:t xml:space="preserve">The EDA notebook produces 15+ figures covering revenue distributions, spend patterns, seasonality decomposition, and correlation analysis. Visualizations clearly show the summer peak pattern (March–September) consistent with pool/outdoor furniture demand.</w:t>
      </w:r>
    </w:p>
    <w:p>
      <w:pPr>
        <w:pStyle w:val="ListParagraph"/>
        <w:numPr>
          <w:ilvl w:val="0"/>
          <w:numId w:val="2"/>
        </w:numPr>
        <w:spacing w:after="60"/>
      </w:pPr>
      <w:r>
        <w:rPr>
          <w:rFonts w:ascii="Arial" w:cs="Arial" w:eastAsia="Arial" w:hAnsi="Arial"/>
          <w:b/>
          <w:bCs/>
          <w:color w:val="27AE60"/>
          <w:sz w:val="21"/>
          <w:szCs w:val="21"/>
        </w:rPr>
        <w:t xml:space="preserve">Strength: </w:t>
      </w:r>
      <w:r>
        <w:rPr>
          <w:rFonts w:ascii="Arial" w:cs="Arial" w:eastAsia="Arial" w:hAnsi="Arial"/>
          <w:color w:val="333333"/>
          <w:sz w:val="21"/>
          <w:szCs w:val="21"/>
        </w:rPr>
        <w:t xml:space="preserve">Comprehensive visual coverage of distributions, time series, and seasonal patterns</w:t>
      </w:r>
    </w:p>
    <w:p>
      <w:pPr>
        <w:pStyle w:val="ListParagraph"/>
        <w:numPr>
          <w:ilvl w:val="0"/>
          <w:numId w:val="2"/>
        </w:numPr>
        <w:spacing w:after="60"/>
      </w:pPr>
      <w:r>
        <w:rPr>
          <w:rFonts w:ascii="Arial" w:cs="Arial" w:eastAsia="Arial" w:hAnsi="Arial"/>
          <w:b/>
          <w:bCs/>
          <w:color w:val="E67E22"/>
          <w:sz w:val="21"/>
          <w:szCs w:val="21"/>
        </w:rPr>
        <w:t xml:space="preserve">Gap: </w:t>
      </w:r>
      <w:r>
        <w:rPr>
          <w:rFonts w:ascii="Arial" w:cs="Arial" w:eastAsia="Arial" w:hAnsi="Arial"/>
          <w:color w:val="333333"/>
          <w:sz w:val="21"/>
          <w:szCs w:val="21"/>
        </w:rPr>
        <w:t xml:space="preserve">No lag analysis in EDA phase (lagged correlations only appear in NB05/06)</w:t>
      </w:r>
    </w:p>
    <w:p>
      <w:pPr>
        <w:pStyle w:val="ListParagraph"/>
        <w:numPr>
          <w:ilvl w:val="0"/>
          <w:numId w:val="2"/>
        </w:numPr>
        <w:spacing w:after="60"/>
      </w:pPr>
      <w:r>
        <w:rPr>
          <w:rFonts w:ascii="Arial" w:cs="Arial" w:eastAsia="Arial" w:hAnsi="Arial"/>
          <w:b/>
          <w:bCs/>
          <w:color w:val="E67E22"/>
          <w:sz w:val="21"/>
          <w:szCs w:val="21"/>
        </w:rPr>
        <w:t xml:space="preserve">Gap: </w:t>
      </w:r>
      <w:r>
        <w:rPr>
          <w:rFonts w:ascii="Arial" w:cs="Arial" w:eastAsia="Arial" w:hAnsi="Arial"/>
          <w:color w:val="333333"/>
          <w:sz w:val="21"/>
          <w:szCs w:val="21"/>
        </w:rPr>
        <w:t xml:space="preserve">No VIF/multicollinearity diagnostics before modeling (discovered late in NB06)</w:t>
      </w:r>
    </w:p>
    <w:p>
      <w:pPr>
        <w:pStyle w:val="ListParagraph"/>
        <w:numPr>
          <w:ilvl w:val="0"/>
          <w:numId w:val="2"/>
        </w:numPr>
        <w:spacing w:after="60"/>
      </w:pPr>
      <w:r>
        <w:rPr>
          <w:rFonts w:ascii="Arial" w:cs="Arial" w:eastAsia="Arial" w:hAnsi="Arial"/>
          <w:b/>
          <w:bCs/>
          <w:color w:val="E67E22"/>
          <w:sz w:val="21"/>
          <w:szCs w:val="21"/>
        </w:rPr>
        <w:t xml:space="preserve">Gap: </w:t>
      </w:r>
      <w:r>
        <w:rPr>
          <w:rFonts w:ascii="Arial" w:cs="Arial" w:eastAsia="Arial" w:hAnsi="Arial"/>
          <w:color w:val="333333"/>
          <w:sz w:val="21"/>
          <w:szCs w:val="21"/>
        </w:rPr>
        <w:t xml:space="preserve">No formal outlier detection (IQR, z-scores) or documentation of excluded periods</w:t>
      </w:r>
    </w:p>
    <w:p>
      <w:pPr>
        <w:pStyle w:val="ListParagraph"/>
        <w:numPr>
          <w:ilvl w:val="0"/>
          <w:numId w:val="2"/>
        </w:numPr>
        <w:spacing w:after="60"/>
      </w:pPr>
      <w:r>
        <w:rPr>
          <w:rFonts w:ascii="Arial" w:cs="Arial" w:eastAsia="Arial" w:hAnsi="Arial"/>
          <w:b/>
          <w:bCs/>
          <w:color w:val="E67E22"/>
          <w:sz w:val="21"/>
          <w:szCs w:val="21"/>
        </w:rPr>
        <w:t xml:space="preserve">Gap: </w:t>
      </w:r>
      <w:r>
        <w:rPr>
          <w:rFonts w:ascii="Arial" w:cs="Arial" w:eastAsia="Arial" w:hAnsi="Arial"/>
          <w:color w:val="333333"/>
          <w:sz w:val="21"/>
          <w:szCs w:val="21"/>
        </w:rPr>
        <w:t xml:space="preserve">Correlations computed on raw (non-deseasonalized) data, confounding seasonality with media effects</w:t>
      </w:r>
    </w:p>
    <w:p>
      <w:pPr>
        <w:pStyle w:val="Heading2"/>
        <w:spacing w:after="160" w:before="280"/>
      </w:pPr>
      <w:r>
        <w:rPr>
          <w:rFonts w:ascii="Arial" w:cs="Arial" w:eastAsia="Arial" w:hAnsi="Arial"/>
          <w:b/>
          <w:bCs/>
          <w:color w:val="2E75B6"/>
          <w:sz w:val="26"/>
          <w:szCs w:val="26"/>
        </w:rPr>
        <w:t xml:space="preserve">3.2 External Data (NB04)</w:t>
      </w:r>
    </w:p>
    <w:p>
      <w:pPr>
        <w:spacing w:after="120"/>
        <w:jc w:val="left"/>
      </w:pPr>
      <w:r>
        <w:rPr>
          <w:rFonts w:ascii="Arial" w:cs="Arial" w:eastAsia="Arial" w:hAnsi="Arial"/>
          <w:color w:val="333333"/>
          <w:sz w:val="21"/>
          <w:szCs w:val="21"/>
        </w:rPr>
        <w:t xml:space="preserve">Weather data is sourced from Environment Canada API (Montreal metro area, 45.55°N, 73.70°W) and includes sunshine hours, precipitation, and days above 25°C. Calendar-to-fiscal year conversion is correctly implemented.</w:t>
      </w:r>
    </w:p>
    <w:p>
      <w:pPr>
        <w:pStyle w:val="Heading3"/>
        <w:spacing w:after="120" w:before="200"/>
      </w:pPr>
      <w:r>
        <w:rPr>
          <w:rFonts w:ascii="Arial" w:cs="Arial" w:eastAsia="Arial" w:hAnsi="Arial"/>
          <w:b/>
          <w:bCs/>
          <w:color w:val="1B3A5C"/>
          <w:sz w:val="22"/>
          <w:szCs w:val="22"/>
        </w:rPr>
        <w:t xml:space="preserve">3.2.1 Critical Weather Feature Issue</w:t>
      </w:r>
    </w:p>
    <w:p>
      <w:pPr>
        <w:spacing w:after="120"/>
        <w:jc w:val="left"/>
      </w:pPr>
      <w:r>
        <w:rPr>
          <w:rFonts w:ascii="Arial" w:cs="Arial" w:eastAsia="Arial" w:hAnsi="Arial"/>
          <w:b/>
          <w:bCs/>
          <w:color w:val="C0392B"/>
          <w:sz w:val="21"/>
          <w:szCs w:val="21"/>
        </w:rPr>
        <w:t xml:space="preserve">Weather variables use absolute values rather than deviations from monthly historical averages.</w:t>
      </w:r>
      <w:r>
        <w:rPr>
          <w:rFonts w:ascii="Arial" w:cs="Arial" w:eastAsia="Arial" w:hAnsi="Arial"/>
          <w:color w:val="333333"/>
          <w:sz w:val="21"/>
          <w:szCs w:val="21"/>
        </w:rPr>
        <w:t xml:space="preserve"> This creates extreme multicollinearity with Fourier seasonality terms (VIF for sunshine_hours = 33.12, cos_1 = 42.99). Both sunshine and Fourier spike in summer, competing for the same variance. The result: weather attribution is effectively zero in all model variants.</w:t>
      </w:r>
    </w:p>
    <w:p>
      <w:pPr>
        <w:spacing w:after="120"/>
        <w:jc w:val="left"/>
      </w:pPr>
      <w:r>
        <w:rPr>
          <w:rFonts w:ascii="Arial" w:cs="Arial" w:eastAsia="Arial" w:hAnsi="Arial"/>
          <w:b/>
          <w:bCs/>
          <w:color w:val="2E75B6"/>
          <w:sz w:val="21"/>
          <w:szCs w:val="21"/>
        </w:rPr>
        <w:t xml:space="preserve">Fix: </w:t>
      </w:r>
      <w:r>
        <w:rPr>
          <w:rFonts w:ascii="Arial" w:cs="Arial" w:eastAsia="Arial" w:hAnsi="Arial"/>
          <w:color w:val="333333"/>
          <w:sz w:val="21"/>
          <w:szCs w:val="21"/>
        </w:rPr>
        <w:t xml:space="preserve">Compute weather deviations (e.g., sunshine_deviation = actual − monthly_mean) to isolate "unusually sunny July" from "typical July sunshine." This makes weather orthogonal to Fourier terms and reduces VIF from ~33 to ~2–3.</w:t>
      </w:r>
    </w:p>
    <w:p>
      <w:pPr>
        <w:pStyle w:val="Heading3"/>
        <w:spacing w:after="120" w:before="200"/>
      </w:pPr>
      <w:r>
        <w:rPr>
          <w:rFonts w:ascii="Arial" w:cs="Arial" w:eastAsia="Arial" w:hAnsi="Arial"/>
          <w:b/>
          <w:bCs/>
          <w:color w:val="1B3A5C"/>
          <w:sz w:val="22"/>
          <w:szCs w:val="22"/>
        </w:rPr>
        <w:t xml:space="preserve">3.2.2 Missing External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80"/>
        <w:gridCol w:w="368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Variable</w:t>
            </w:r>
          </w:p>
        </w:tc>
        <w:tc>
          <w:tcPr>
            <w:tcW w:type="dxa" w:w="1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Importance</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Holiday calendar (Easter, Victoria Day, Labour Day)</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High</w:t>
            </w:r>
          </w:p>
        </w:tc>
        <w:tc>
          <w:tcPr>
            <w:tcW w:type="dxa" w:w="36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Missing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Promotional events (3-day in-store remotes, Apr–Jul)</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High</w:t>
            </w:r>
          </w:p>
        </w:tc>
        <w:tc>
          <w:tcPr>
            <w:tcW w:type="dxa" w:w="36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Missing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COVID-19 phase effects (FY2023 recovery)</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Medium</w:t>
            </w:r>
          </w:p>
        </w:tc>
        <w:tc>
          <w:tcPr>
            <w:tcW w:type="dxa" w:w="3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Missing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Macroeconomic indicators (interest rates, CPI)</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Medium</w:t>
            </w:r>
          </w:p>
        </w:tc>
        <w:tc>
          <w:tcPr>
            <w:tcW w:type="dxa" w:w="3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Missing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Competitor activity (Trevi, Sima, big-box)</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Medium</w:t>
            </w:r>
          </w:p>
        </w:tc>
        <w:tc>
          <w:tcPr>
            <w:tcW w:type="dxa" w:w="3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Missing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Inventory/capacity constraints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Low–Med</w:t>
            </w:r>
          </w:p>
        </w:tc>
        <w:tc>
          <w:tcPr>
            <w:tcW w:type="dxa" w:w="3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Missing</w:t>
            </w:r>
          </w:p>
        </w:tc>
      </w:tr>
    </w:tbl>
    <w:p>
      <w:pPr>
        <w:spacing w:after="120"/>
        <w:jc w:val="left"/>
      </w:pPr>
      <w:r>
        <w:rPr>
          <w:rFonts w:ascii="Arial" w:cs="Arial" w:eastAsia="Arial" w:hAnsi="Arial"/>
          <w:color w:val="333333"/>
          <w:sz w:val="21"/>
          <w:szCs w:val="21"/>
        </w:rPr>
        <w:t xml:space="preserve"/>
      </w:r>
    </w:p>
    <w:p>
      <w:pPr>
        <w:spacing w:after="120"/>
        <w:jc w:val="left"/>
      </w:pPr>
      <w:r>
        <w:rPr>
          <w:rFonts w:ascii="Arial" w:cs="Arial" w:eastAsia="Arial" w:hAnsi="Arial"/>
          <w:b/>
          <w:bCs/>
          <w:color w:val="27AE60"/>
          <w:sz w:val="21"/>
          <w:szCs w:val="21"/>
        </w:rPr>
        <w:t xml:space="preserve">Grade: B</w:t>
      </w:r>
      <w:r>
        <w:rPr>
          <w:rFonts w:ascii="Arial" w:cs="Arial" w:eastAsia="Arial" w:hAnsi="Arial"/>
          <w:color w:val="333333"/>
          <w:sz w:val="21"/>
          <w:szCs w:val="21"/>
        </w:rPr>
        <w:t xml:space="preserve"> — Sound data collection and temporal alignment, but weather feature design is flawed (absolute values instead of deviations) and critical external variables are missing.</w:t>
      </w:r>
    </w:p>
    <w:p>
      <w:r>
        <w:br w:type="page"/>
      </w:r>
    </w:p>
    <w:p>
      <w:pPr>
        <w:pStyle w:val="Heading1"/>
        <w:spacing w:after="200" w:before="360"/>
      </w:pPr>
      <w:r>
        <w:rPr>
          <w:rFonts w:ascii="Arial" w:cs="Arial" w:eastAsia="Arial" w:hAnsi="Arial"/>
          <w:b/>
          <w:bCs/>
          <w:color w:val="1B3A5C"/>
          <w:sz w:val="32"/>
          <w:szCs w:val="32"/>
        </w:rPr>
        <w:t xml:space="preserve">4. Feature Engineering Evaluation (NB05)</w:t>
      </w:r>
    </w:p>
    <w:p>
      <w:pPr>
        <w:pStyle w:val="Heading2"/>
        <w:spacing w:after="160" w:before="280"/>
      </w:pPr>
      <w:r>
        <w:rPr>
          <w:rFonts w:ascii="Arial" w:cs="Arial" w:eastAsia="Arial" w:hAnsi="Arial"/>
          <w:b/>
          <w:bCs/>
          <w:color w:val="2E75B6"/>
          <w:sz w:val="26"/>
          <w:szCs w:val="26"/>
        </w:rPr>
        <w:t xml:space="preserve">4.1 Adstock Transformations</w:t>
      </w:r>
    </w:p>
    <w:p>
      <w:pPr>
        <w:spacing w:after="120"/>
        <w:jc w:val="left"/>
      </w:pPr>
      <w:r>
        <w:rPr>
          <w:rFonts w:ascii="Arial" w:cs="Arial" w:eastAsia="Arial" w:hAnsi="Arial"/>
          <w:color w:val="333333"/>
          <w:sz w:val="21"/>
          <w:szCs w:val="21"/>
        </w:rPr>
        <w:t xml:space="preserve">Geometric adstock is used with channel-specific decay rates calibrated via multi-channel grid search (16,384 combinations). The transformations.py module (334 LOC) implements geometric adstock, Hill/log/power saturation, and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200"/>
        <w:gridCol w:w="2160"/>
        <w:gridCol w:w="3300"/>
      </w:tblGrid>
      <w:tr>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Channel</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Decay (λ)</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Half-Life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Literature Benchmark</w:t>
            </w:r>
          </w:p>
        </w:tc>
        <w:tc>
          <w:tcPr>
            <w:tcW w:type="dxa" w:w="3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Assessment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Television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~6 days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0.7–0.9 weekly</w:t>
            </w:r>
          </w:p>
        </w:tc>
        <w:tc>
          <w:tcPr>
            <w:tcW w:type="dxa" w:w="33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36x too fast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Radio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~9 days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0.3–0.5 weekly</w:t>
            </w:r>
          </w:p>
        </w:tc>
        <w:tc>
          <w:tcPr>
            <w:tcW w:type="dxa" w:w="33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Low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Panneaux</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~12 days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0.3–0.5 weekly</w:t>
            </w:r>
          </w:p>
        </w:tc>
        <w:tc>
          <w:tcPr>
            <w:tcW w:type="dxa" w:w="3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Acceptable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Social Media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&lt;1 day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0.1–0.3 weekly</w:t>
            </w:r>
          </w:p>
        </w:tc>
        <w:tc>
          <w:tcPr>
            <w:tcW w:type="dxa" w:w="3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Reasonable for digital</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Preroll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~26 days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0.3–0.5 weekly</w:t>
            </w:r>
          </w:p>
        </w:tc>
        <w:tc>
          <w:tcPr>
            <w:tcW w:type="dxa" w:w="3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Reasonable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Web Banners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~5 days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0.1–0.3 weekly</w:t>
            </w:r>
          </w:p>
        </w:tc>
        <w:tc>
          <w:tcPr>
            <w:tcW w:type="dxa" w:w="3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Reasonable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Circulaire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&lt;1 day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0.1–0.3 weekly</w:t>
            </w:r>
          </w:p>
        </w:tc>
        <w:tc>
          <w:tcPr>
            <w:tcW w:type="dxa" w:w="3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Reasonable</w:t>
            </w:r>
          </w:p>
        </w:tc>
      </w:tr>
    </w:tbl>
    <w:p>
      <w:pPr>
        <w:spacing w:after="120"/>
        <w:jc w:val="left"/>
      </w:pPr>
      <w:r>
        <w:rPr>
          <w:rFonts w:ascii="Arial" w:cs="Arial" w:eastAsia="Arial" w:hAnsi="Arial"/>
          <w:color w:val="333333"/>
          <w:sz w:val="21"/>
          <w:szCs w:val="21"/>
        </w:rPr>
        <w:t xml:space="preserve"/>
      </w:r>
    </w:p>
    <w:p>
      <w:pPr>
        <w:spacing w:after="120"/>
        <w:jc w:val="left"/>
      </w:pPr>
      <w:r>
        <w:rPr>
          <w:rFonts w:ascii="Arial" w:cs="Arial" w:eastAsia="Arial" w:hAnsi="Arial"/>
          <w:b/>
          <w:bCs/>
          <w:color w:val="C0392B"/>
          <w:sz w:val="21"/>
          <w:szCs w:val="21"/>
        </w:rPr>
        <w:t xml:space="preserve">Key Issue: </w:t>
      </w:r>
      <w:r>
        <w:rPr>
          <w:rFonts w:ascii="Arial" w:cs="Arial" w:eastAsia="Arial" w:hAnsi="Arial"/>
          <w:color w:val="333333"/>
          <w:sz w:val="21"/>
          <w:szCs w:val="21"/>
        </w:rPr>
        <w:t xml:space="preserve">TV decay rate of 0.1 (half-life ~6 days) is implausibly fast for a brand-building channel. Literature meta-analyses (Tellis 1999) report TV carryover of 3–4 months. The client narrative explicitly states TV creates a "halo effect" amplifying all other channels, yet the model treats it as short-acting.</w:t>
      </w:r>
    </w:p>
    <w:p>
      <w:pPr>
        <w:pStyle w:val="Heading2"/>
        <w:spacing w:after="160" w:before="280"/>
      </w:pPr>
      <w:r>
        <w:rPr>
          <w:rFonts w:ascii="Arial" w:cs="Arial" w:eastAsia="Arial" w:hAnsi="Arial"/>
          <w:b/>
          <w:bCs/>
          <w:color w:val="2E75B6"/>
          <w:sz w:val="26"/>
          <w:szCs w:val="26"/>
        </w:rPr>
        <w:t xml:space="preserve">4.2 Saturation Functions</w:t>
      </w:r>
    </w:p>
    <w:p>
      <w:pPr>
        <w:spacing w:after="120"/>
        <w:jc w:val="left"/>
      </w:pPr>
      <w:r>
        <w:rPr>
          <w:rFonts w:ascii="Arial" w:cs="Arial" w:eastAsia="Arial" w:hAnsi="Arial"/>
          <w:color w:val="333333"/>
          <w:sz w:val="21"/>
          <w:szCs w:val="21"/>
        </w:rPr>
        <w:t xml:space="preserve">Three saturation types are implemented: Hill (S-curve), logarithmic, and power (square root). Each channel uses a data-driven function type selected via grid search.</w:t>
      </w:r>
    </w:p>
    <w:p>
      <w:pPr>
        <w:pStyle w:val="ListParagraph"/>
        <w:numPr>
          <w:ilvl w:val="0"/>
          <w:numId w:val="2"/>
        </w:numPr>
        <w:spacing w:after="60"/>
      </w:pPr>
      <w:r>
        <w:rPr>
          <w:rFonts w:ascii="Arial" w:cs="Arial" w:eastAsia="Arial" w:hAnsi="Arial"/>
          <w:b/>
          <w:bCs/>
          <w:color w:val="333333"/>
          <w:sz w:val="21"/>
          <w:szCs w:val="21"/>
        </w:rPr>
        <w:t xml:space="preserve">Positive: </w:t>
      </w:r>
      <w:r>
        <w:rPr>
          <w:rFonts w:ascii="Arial" w:cs="Arial" w:eastAsia="Arial" w:hAnsi="Arial"/>
          <w:color w:val="333333"/>
          <w:sz w:val="21"/>
          <w:szCs w:val="21"/>
        </w:rPr>
        <w:t xml:space="preserve">Channel-specific saturation with appropriate function types (Hill for Preroll, log for TV)</w:t>
      </w:r>
    </w:p>
    <w:p>
      <w:pPr>
        <w:pStyle w:val="ListParagraph"/>
        <w:numPr>
          <w:ilvl w:val="0"/>
          <w:numId w:val="2"/>
        </w:numPr>
        <w:spacing w:after="60"/>
      </w:pPr>
      <w:r>
        <w:rPr>
          <w:rFonts w:ascii="Arial" w:cs="Arial" w:eastAsia="Arial" w:hAnsi="Arial"/>
          <w:b/>
          <w:bCs/>
          <w:color w:val="E67E22"/>
          <w:sz w:val="21"/>
          <w:szCs w:val="21"/>
        </w:rPr>
        <w:t xml:space="preserve">Issue: </w:t>
      </w:r>
      <w:r>
        <w:rPr>
          <w:rFonts w:ascii="Arial" w:cs="Arial" w:eastAsia="Arial" w:hAnsi="Arial"/>
          <w:color w:val="333333"/>
          <w:sz w:val="21"/>
          <w:szCs w:val="21"/>
        </w:rPr>
        <w:t xml:space="preserve">Log saturation is unbounded (no ceiling), risking inflated TV coefficient variance</w:t>
      </w:r>
    </w:p>
    <w:p>
      <w:pPr>
        <w:pStyle w:val="ListParagraph"/>
        <w:numPr>
          <w:ilvl w:val="0"/>
          <w:numId w:val="2"/>
        </w:numPr>
        <w:spacing w:after="60"/>
      </w:pPr>
      <w:r>
        <w:rPr>
          <w:rFonts w:ascii="Arial" w:cs="Arial" w:eastAsia="Arial" w:hAnsi="Arial"/>
          <w:b/>
          <w:bCs/>
          <w:color w:val="E67E22"/>
          <w:sz w:val="21"/>
          <w:szCs w:val="21"/>
        </w:rPr>
        <w:t xml:space="preserve">Issue: </w:t>
      </w:r>
      <w:r>
        <w:rPr>
          <w:rFonts w:ascii="Arial" w:cs="Arial" w:eastAsia="Arial" w:hAnsi="Arial"/>
          <w:color w:val="333333"/>
          <w:sz w:val="21"/>
          <w:szCs w:val="21"/>
        </w:rPr>
        <w:t xml:space="preserve">Saturation and decay are optimized sequentially, not jointly; joint optimization is preferred</w:t>
      </w:r>
    </w:p>
    <w:p>
      <w:pPr>
        <w:pStyle w:val="Heading2"/>
        <w:spacing w:after="160" w:before="280"/>
      </w:pPr>
      <w:r>
        <w:rPr>
          <w:rFonts w:ascii="Arial" w:cs="Arial" w:eastAsia="Arial" w:hAnsi="Arial"/>
          <w:b/>
          <w:bCs/>
          <w:color w:val="2E75B6"/>
          <w:sz w:val="26"/>
          <w:szCs w:val="26"/>
        </w:rPr>
        <w:t xml:space="preserve">4.3 Fourier Seasonality</w:t>
      </w:r>
    </w:p>
    <w:p>
      <w:pPr>
        <w:spacing w:after="120"/>
        <w:jc w:val="left"/>
      </w:pPr>
      <w:r>
        <w:rPr>
          <w:rFonts w:ascii="Arial" w:cs="Arial" w:eastAsia="Arial" w:hAnsi="Arial"/>
          <w:color w:val="333333"/>
          <w:sz w:val="21"/>
          <w:szCs w:val="21"/>
        </w:rPr>
        <w:t xml:space="preserve">Only 1 harmonic pair (sin_1, cos_1) is used, capturing a single 36-month oscillation. This misses the sub-annual March–September peak that is the dominant seasonal pattern for Club Piscine. A second harmonic (sin_2, cos_2) would capture the 6-month semi-annual cycle.</w:t>
      </w:r>
    </w:p>
    <w:p>
      <w:pPr>
        <w:pStyle w:val="Heading2"/>
        <w:spacing w:after="160" w:before="280"/>
      </w:pPr>
      <w:r>
        <w:rPr>
          <w:rFonts w:ascii="Arial" w:cs="Arial" w:eastAsia="Arial" w:hAnsi="Arial"/>
          <w:b/>
          <w:bCs/>
          <w:color w:val="2E75B6"/>
          <w:sz w:val="26"/>
          <w:szCs w:val="26"/>
        </w:rPr>
        <w:t xml:space="preserve">4.4 Missing Feature Engineering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560"/>
        <w:gridCol w:w="200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Element</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Impact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Interaction terms (TV × Social, TV × Preroll)</w:t>
            </w:r>
          </w:p>
        </w:tc>
        <w:tc>
          <w:tcPr>
            <w:tcW w:type="dxa" w:w="16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Missing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TV halo effect unmodeled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High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Weibull adstock (flexible decay shapes)</w:t>
            </w:r>
          </w:p>
        </w:tc>
        <w:tc>
          <w:tcPr>
            <w:tcW w:type="dxa" w:w="16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Not implemented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Geometric only; less flexible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Medium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Time-varying coefficients</w:t>
            </w:r>
          </w:p>
        </w:tc>
        <w:tc>
          <w:tcPr>
            <w:tcW w:type="dxa" w:w="16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Not implemented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Assumes constant effectiveness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Competitor spend proxies</w:t>
            </w:r>
          </w:p>
        </w:tc>
        <w:tc>
          <w:tcPr>
            <w:tcW w:type="dxa" w:w="16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Missing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May overestimate own ROAS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Medium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Price/promotion variables</w:t>
            </w:r>
          </w:p>
        </w:tc>
        <w:tc>
          <w:tcPr>
            <w:tcW w:type="dxa" w:w="16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Missing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Confounds media effects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Medium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Lagged dependent variable</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0"/>
            </w:pPr>
            <w:r>
              <w:rPr>
                <w:rFonts w:ascii="Arial" w:cs="Arial" w:eastAsia="Arial" w:hAnsi="Arial"/>
                <w:color w:val="333333"/>
                <w:sz w:val="18"/>
                <w:szCs w:val="18"/>
              </w:rPr>
              <w:t xml:space="preserve">Missing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Sales momentum ignored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Low</w:t>
            </w:r>
          </w:p>
        </w:tc>
      </w:tr>
    </w:tbl>
    <w:p>
      <w:pPr>
        <w:spacing w:after="120"/>
        <w:jc w:val="left"/>
      </w:pPr>
      <w:r>
        <w:rPr>
          <w:rFonts w:ascii="Arial" w:cs="Arial" w:eastAsia="Arial" w:hAnsi="Arial"/>
          <w:color w:val="333333"/>
          <w:sz w:val="21"/>
          <w:szCs w:val="21"/>
        </w:rPr>
        <w:t xml:space="preserve"/>
      </w:r>
    </w:p>
    <w:p>
      <w:pPr>
        <w:spacing w:after="120"/>
        <w:jc w:val="left"/>
      </w:pPr>
      <w:r>
        <w:rPr>
          <w:rFonts w:ascii="Arial" w:cs="Arial" w:eastAsia="Arial" w:hAnsi="Arial"/>
          <w:b/>
          <w:bCs/>
          <w:color w:val="E67E22"/>
          <w:sz w:val="21"/>
          <w:szCs w:val="21"/>
        </w:rPr>
        <w:t xml:space="preserve">Grade: B−</w:t>
      </w:r>
      <w:r>
        <w:rPr>
          <w:rFonts w:ascii="Arial" w:cs="Arial" w:eastAsia="Arial" w:hAnsi="Arial"/>
          <w:color w:val="333333"/>
          <w:sz w:val="21"/>
          <w:szCs w:val="21"/>
        </w:rPr>
        <w:t xml:space="preserve"> — Solid implementation of adstock and saturation in transformations.py, but TV decay rate is implausible, Fourier harmonics insufficient, and no interaction terms despite client emphasis on cross-media synergies.</w:t>
      </w:r>
    </w:p>
    <w:p>
      <w:r>
        <w:br w:type="page"/>
      </w:r>
    </w:p>
    <w:p>
      <w:pPr>
        <w:pStyle w:val="Heading1"/>
        <w:spacing w:after="200" w:before="360"/>
      </w:pPr>
      <w:r>
        <w:rPr>
          <w:rFonts w:ascii="Arial" w:cs="Arial" w:eastAsia="Arial" w:hAnsi="Arial"/>
          <w:b/>
          <w:bCs/>
          <w:color w:val="1B3A5C"/>
          <w:sz w:val="32"/>
          <w:szCs w:val="32"/>
        </w:rPr>
        <w:t xml:space="preserve">5. Primary Model Deep-Dive (NB06C)</w:t>
      </w:r>
    </w:p>
    <w:p>
      <w:pPr>
        <w:pStyle w:val="Heading2"/>
        <w:spacing w:after="160" w:before="280"/>
      </w:pPr>
      <w:r>
        <w:rPr>
          <w:rFonts w:ascii="Arial" w:cs="Arial" w:eastAsia="Arial" w:hAnsi="Arial"/>
          <w:b/>
          <w:bCs/>
          <w:color w:val="2E75B6"/>
          <w:sz w:val="26"/>
          <w:szCs w:val="26"/>
        </w:rPr>
        <w:t xml:space="preserve">5.1 Model Architecture</w:t>
      </w:r>
    </w:p>
    <w:p>
      <w:pPr>
        <w:spacing w:after="120"/>
        <w:jc w:val="left"/>
      </w:pPr>
      <w:r>
        <w:rPr>
          <w:rFonts w:ascii="Arial" w:cs="Arial" w:eastAsia="Arial" w:hAnsi="Arial"/>
          <w:color w:val="333333"/>
          <w:sz w:val="21"/>
          <w:szCs w:val="21"/>
        </w:rPr>
        <w:t xml:space="preserve">The primary model uses a two-stage Ridge regression with non-negative least squares (NNLS) constraints, following a Frisch-Waugh-Lovell decomposition approach:</w:t>
      </w:r>
    </w:p>
    <w:p>
      <w:pPr>
        <w:pStyle w:val="ListParagraph"/>
        <w:numPr>
          <w:ilvl w:val="0"/>
          <w:numId w:val="2"/>
        </w:numPr>
        <w:spacing w:after="60"/>
      </w:pPr>
      <w:r>
        <w:rPr>
          <w:rFonts w:ascii="Arial" w:cs="Arial" w:eastAsia="Arial" w:hAnsi="Arial"/>
          <w:b/>
          <w:bCs/>
          <w:color w:val="333333"/>
          <w:sz w:val="21"/>
          <w:szCs w:val="21"/>
        </w:rPr>
        <w:t xml:space="preserve">Stage 1: </w:t>
      </w:r>
      <w:r>
        <w:rPr>
          <w:rFonts w:ascii="Arial" w:cs="Arial" w:eastAsia="Arial" w:hAnsi="Arial"/>
          <w:color w:val="333333"/>
          <w:sz w:val="21"/>
          <w:szCs w:val="21"/>
        </w:rPr>
        <w:t xml:space="preserve">Revenue ~ Fourier seasonality + Weather controls → R² = 0.827 (captures 82.7% of variance)</w:t>
      </w:r>
    </w:p>
    <w:p>
      <w:pPr>
        <w:pStyle w:val="ListParagraph"/>
        <w:numPr>
          <w:ilvl w:val="0"/>
          <w:numId w:val="2"/>
        </w:numPr>
        <w:spacing w:after="60"/>
      </w:pPr>
      <w:r>
        <w:rPr>
          <w:rFonts w:ascii="Arial" w:cs="Arial" w:eastAsia="Arial" w:hAnsi="Arial"/>
          <w:b/>
          <w:bCs/>
          <w:color w:val="333333"/>
          <w:sz w:val="21"/>
          <w:szCs w:val="21"/>
        </w:rPr>
        <w:t xml:space="preserve">Stage 2: </w:t>
      </w:r>
      <w:r>
        <w:rPr>
          <w:rFonts w:ascii="Arial" w:cs="Arial" w:eastAsia="Arial" w:hAnsi="Arial"/>
          <w:color w:val="333333"/>
          <w:sz w:val="21"/>
          <w:szCs w:val="21"/>
        </w:rPr>
        <w:t xml:space="preserve">Residuals ~ 7 Media channels (adstocked + saturated) → R² = 0.149 (only 14.9% of remaining variance)</w:t>
      </w:r>
    </w:p>
    <w:p>
      <w:pPr>
        <w:pStyle w:val="ListParagraph"/>
        <w:numPr>
          <w:ilvl w:val="0"/>
          <w:numId w:val="2"/>
        </w:numPr>
        <w:spacing w:after="60"/>
      </w:pPr>
      <w:r>
        <w:rPr>
          <w:rFonts w:ascii="Arial" w:cs="Arial" w:eastAsia="Arial" w:hAnsi="Arial"/>
          <w:b/>
          <w:bCs/>
          <w:color w:val="333333"/>
          <w:sz w:val="21"/>
          <w:szCs w:val="21"/>
        </w:rPr>
        <w:t xml:space="preserve">Ridge α = 5.0 </w:t>
      </w:r>
      <w:r>
        <w:rPr>
          <w:rFonts w:ascii="Arial" w:cs="Arial" w:eastAsia="Arial" w:hAnsi="Arial"/>
          <w:color w:val="333333"/>
          <w:sz w:val="21"/>
          <w:szCs w:val="21"/>
        </w:rPr>
        <w:t xml:space="preserve">(selected via elbow method at 2% MAE improvement threshold)</w:t>
      </w:r>
    </w:p>
    <w:p>
      <w:pPr>
        <w:pStyle w:val="ListParagraph"/>
        <w:numPr>
          <w:ilvl w:val="0"/>
          <w:numId w:val="2"/>
        </w:numPr>
        <w:spacing w:after="60"/>
      </w:pPr>
      <w:r>
        <w:rPr>
          <w:rFonts w:ascii="Arial" w:cs="Arial" w:eastAsia="Arial" w:hAnsi="Arial"/>
          <w:b/>
          <w:bCs/>
          <w:color w:val="333333"/>
          <w:sz w:val="21"/>
          <w:szCs w:val="21"/>
        </w:rPr>
        <w:t xml:space="preserve">NNLS constraint: </w:t>
      </w:r>
      <w:r>
        <w:rPr>
          <w:rFonts w:ascii="Arial" w:cs="Arial" w:eastAsia="Arial" w:hAnsi="Arial"/>
          <w:color w:val="333333"/>
          <w:sz w:val="21"/>
          <w:szCs w:val="21"/>
        </w:rPr>
        <w:t xml:space="preserve">All media coefficients forced ≥ 0</w:t>
      </w:r>
    </w:p>
    <w:p>
      <w:pPr>
        <w:pStyle w:val="Heading2"/>
        <w:spacing w:after="160" w:before="280"/>
      </w:pPr>
      <w:r>
        <w:rPr>
          <w:rFonts w:ascii="Arial" w:cs="Arial" w:eastAsia="Arial" w:hAnsi="Arial"/>
          <w:b/>
          <w:bCs/>
          <w:color w:val="2E75B6"/>
          <w:sz w:val="26"/>
          <w:szCs w:val="26"/>
        </w:rPr>
        <w:t xml:space="preserve">5.2 ROAS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560"/>
        <w:gridCol w:w="20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Channel</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ROAS (Unconstrained)</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90% CI</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ROAS (NNLS)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Robustness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Preroll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$68.48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$18.63 – $105.73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$33.89</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PASS (4/4)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Social Media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$120.19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−$70.12 – $290.14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$28.48</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FAIL (wide CI)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Web Banners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−$10.52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−$96.87 – $67.62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$21.44</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FAIL (sign flip)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Circulaire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$14.59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−$90.51 – $123.35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$10.84</w:t>
            </w:r>
          </w:p>
        </w:tc>
        <w:tc>
          <w:tcPr>
            <w:tcW w:type="dxa" w:w="2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FAIL (wide CI)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Television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$0.62 – $21.88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$8.78</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PASS (4/4)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Radio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−$33.96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−$57.66 – −$8.40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$0.00</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FAIL (negative)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Panneaux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−$27.68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−$98.92 – $54.12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$0.00</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FAIL (negative)</w:t>
            </w:r>
          </w:p>
        </w:tc>
      </w:tr>
    </w:tbl>
    <w:p>
      <w:pPr>
        <w:spacing w:after="120"/>
        <w:jc w:val="left"/>
      </w:pPr>
      <w:r>
        <w:rPr>
          <w:rFonts w:ascii="Arial" w:cs="Arial" w:eastAsia="Arial" w:hAnsi="Arial"/>
          <w:color w:val="333333"/>
          <w:sz w:val="21"/>
          <w:szCs w:val="21"/>
        </w:rPr>
        <w:t xml:space="preserve"/>
      </w:r>
    </w:p>
    <w:p>
      <w:pPr>
        <w:pStyle w:val="Heading2"/>
        <w:spacing w:after="160" w:before="280"/>
      </w:pPr>
      <w:r>
        <w:rPr>
          <w:rFonts w:ascii="Arial" w:cs="Arial" w:eastAsia="Arial" w:hAnsi="Arial"/>
          <w:b/>
          <w:bCs/>
          <w:color w:val="2E75B6"/>
          <w:sz w:val="26"/>
          <w:szCs w:val="26"/>
        </w:rPr>
        <w:t xml:space="preserve">5.3 Critical Model Issues</w:t>
      </w:r>
    </w:p>
    <w:p>
      <w:pPr>
        <w:pStyle w:val="Heading3"/>
        <w:spacing w:after="120" w:before="200"/>
      </w:pPr>
      <w:r>
        <w:rPr>
          <w:rFonts w:ascii="Arial" w:cs="Arial" w:eastAsia="Arial" w:hAnsi="Arial"/>
          <w:b/>
          <w:bCs/>
          <w:color w:val="1B3A5C"/>
          <w:sz w:val="22"/>
          <w:szCs w:val="22"/>
        </w:rPr>
        <w:t xml:space="preserve">5.3.1 Sample Size</w:t>
      </w:r>
    </w:p>
    <w:p>
      <w:pPr>
        <w:spacing w:after="120"/>
        <w:jc w:val="left"/>
      </w:pPr>
      <w:r>
        <w:rPr>
          <w:rFonts w:ascii="Arial" w:cs="Arial" w:eastAsia="Arial" w:hAnsi="Arial"/>
          <w:color w:val="333333"/>
          <w:sz w:val="21"/>
          <w:szCs w:val="21"/>
        </w:rPr>
        <w:t xml:space="preserve">N=36 with 14 parameters yields a ratio of 2.6:1, far below the standard 10:1 minimum.</w:t>
      </w:r>
      <w:r>
        <w:rPr>
          <w:rFonts w:ascii="Arial" w:cs="Arial" w:eastAsia="Arial" w:hAnsi="Arial"/>
          <w:b/>
          <w:bCs/>
          <w:color w:val="C0392B"/>
          <w:sz w:val="21"/>
          <w:szCs w:val="21"/>
        </w:rPr>
        <w:t xml:space="preserve"> 156 weekly observations are available but were aggregated to monthly, discarding 77% of information.</w:t>
      </w:r>
      <w:r>
        <w:rPr>
          <w:rFonts w:ascii="Arial" w:cs="Arial" w:eastAsia="Arial" w:hAnsi="Arial"/>
          <w:color w:val="333333"/>
          <w:sz w:val="21"/>
          <w:szCs w:val="21"/>
        </w:rPr>
        <w:t xml:space="preserve"> Using weekly data would improve the ratio to 11:1, a dramatic improvement.</w:t>
      </w:r>
    </w:p>
    <w:p>
      <w:pPr>
        <w:pStyle w:val="Heading3"/>
        <w:spacing w:after="120" w:before="200"/>
      </w:pPr>
      <w:r>
        <w:rPr>
          <w:rFonts w:ascii="Arial" w:cs="Arial" w:eastAsia="Arial" w:hAnsi="Arial"/>
          <w:b/>
          <w:bCs/>
          <w:color w:val="1B3A5C"/>
          <w:sz w:val="22"/>
          <w:szCs w:val="22"/>
        </w:rPr>
        <w:t xml:space="preserve">5.3.2 Non-Negative Constraint Masking</w:t>
      </w:r>
    </w:p>
    <w:p>
      <w:pPr>
        <w:spacing w:after="120"/>
        <w:jc w:val="left"/>
      </w:pPr>
      <w:r>
        <w:rPr>
          <w:rFonts w:ascii="Arial" w:cs="Arial" w:eastAsia="Arial" w:hAnsi="Arial"/>
          <w:color w:val="333333"/>
          <w:sz w:val="21"/>
          <w:szCs w:val="21"/>
        </w:rPr>
        <w:t xml:space="preserve">The unconstrained model showed negative ROAS for Radio (−$33.96), Panneaux (−$27.68), and Banniere Web (−$10.52). Rather than investigating this confounding (multicollinearity, omitted variables, seasonal correlation), the NNLS constraint simply forced these to zero. This masks, rather than solves, the identification problem.</w:t>
      </w:r>
    </w:p>
    <w:p>
      <w:pPr>
        <w:spacing w:after="120"/>
        <w:jc w:val="left"/>
      </w:pPr>
      <w:r>
        <w:rPr>
          <w:rFonts w:ascii="Arial" w:cs="Arial" w:eastAsia="Arial" w:hAnsi="Arial"/>
          <w:i/>
          <w:iCs/>
          <w:color w:val="333333"/>
          <w:sz w:val="21"/>
          <w:szCs w:val="21"/>
        </w:rPr>
        <w:t xml:space="preserve">Client narrative directly contradicts zero-ROAS for Radio: </w:t>
      </w:r>
      <w:r>
        <w:rPr>
          <w:rFonts w:ascii="Arial" w:cs="Arial" w:eastAsia="Arial" w:hAnsi="Arial"/>
          <w:i/>
          <w:iCs/>
          <w:color w:val="2E75B6"/>
          <w:sz w:val="21"/>
          <w:szCs w:val="21"/>
        </w:rPr>
        <w:t xml:space="preserve">"Tactical mass medium, takes over as TV declines mid-May; regional; 3-day promo events with in-store remotes."</w:t>
      </w:r>
    </w:p>
    <w:p>
      <w:pPr>
        <w:pStyle w:val="Heading3"/>
        <w:spacing w:after="120" w:before="200"/>
      </w:pPr>
      <w:r>
        <w:rPr>
          <w:rFonts w:ascii="Arial" w:cs="Arial" w:eastAsia="Arial" w:hAnsi="Arial"/>
          <w:b/>
          <w:bCs/>
          <w:color w:val="1B3A5C"/>
          <w:sz w:val="22"/>
          <w:szCs w:val="22"/>
        </w:rPr>
        <w:t xml:space="preserve">5.3.3 Implausible ROAS Values</w:t>
      </w:r>
    </w:p>
    <w:p>
      <w:pPr>
        <w:spacing w:after="120"/>
        <w:jc w:val="left"/>
      </w:pPr>
      <w:r>
        <w:rPr>
          <w:rFonts w:ascii="Arial" w:cs="Arial" w:eastAsia="Arial" w:hAnsi="Arial"/>
          <w:color w:val="333333"/>
          <w:sz w:val="21"/>
          <w:szCs w:val="21"/>
        </w:rPr>
        <w:t xml:space="preserve">Preroll ROAS of $68 (unconstrained) or $34 (NNLS) is 8–20x above industry benchmarks of $3–8 for video/preroll.</w:t>
      </w:r>
      <w:r>
        <w:rPr>
          <w:rFonts w:ascii="Arial" w:cs="Arial" w:eastAsia="Arial" w:hAnsi="Arial"/>
          <w:color w:val="C0392B"/>
          <w:sz w:val="21"/>
          <w:szCs w:val="21"/>
        </w:rPr>
        <w:t xml:space="preserve"> Social Media ROAS of $120 is even more extreme. These values likely reflect small-sample noise, overfitting, or demand correlation rather than true causal effectiveness.</w:t>
      </w:r>
    </w:p>
    <w:p>
      <w:pPr>
        <w:pStyle w:val="Heading3"/>
        <w:spacing w:after="120" w:before="200"/>
      </w:pPr>
      <w:r>
        <w:rPr>
          <w:rFonts w:ascii="Arial" w:cs="Arial" w:eastAsia="Arial" w:hAnsi="Arial"/>
          <w:b/>
          <w:bCs/>
          <w:color w:val="1B3A5C"/>
          <w:sz w:val="22"/>
          <w:szCs w:val="22"/>
        </w:rPr>
        <w:t xml:space="preserve">5.3.4 Weak Media Signal</w:t>
      </w:r>
    </w:p>
    <w:p>
      <w:pPr>
        <w:spacing w:after="120"/>
        <w:jc w:val="left"/>
      </w:pPr>
      <w:r>
        <w:rPr>
          <w:rFonts w:ascii="Arial" w:cs="Arial" w:eastAsia="Arial" w:hAnsi="Arial"/>
          <w:color w:val="333333"/>
          <w:sz w:val="21"/>
          <w:szCs w:val="21"/>
        </w:rPr>
        <w:t xml:space="preserve">Stage 2 R² of 0.149 means only 15% of post-seasonal residual variance is explained by media. 85% remains unexplained, suggesting either missing confounders (in-store events, inventory, local marketing), model misspecification, or genuinely minimal media effects at these spend levels.</w:t>
      </w:r>
    </w:p>
    <w:p>
      <w:pPr>
        <w:spacing w:after="120"/>
        <w:jc w:val="left"/>
      </w:pPr>
      <w:r>
        <w:rPr>
          <w:rFonts w:ascii="Arial" w:cs="Arial" w:eastAsia="Arial" w:hAnsi="Arial"/>
          <w:b/>
          <w:bCs/>
          <w:color w:val="E67E22"/>
          <w:sz w:val="21"/>
          <w:szCs w:val="21"/>
        </w:rPr>
        <w:t xml:space="preserve">Grade: B−</w:t>
      </w:r>
      <w:r>
        <w:rPr>
          <w:rFonts w:ascii="Arial" w:cs="Arial" w:eastAsia="Arial" w:hAnsi="Arial"/>
          <w:color w:val="333333"/>
          <w:sz w:val="21"/>
          <w:szCs w:val="21"/>
        </w:rPr>
        <w:t xml:space="preserve"> — Technically sound methodology (proper CV, bootstrap, decomposition) but severe constraints: undersized sample, weak media signal, NNLS masking, implausible ROAS. Treat as exploratory prototype, not production model.</w:t>
      </w:r>
    </w:p>
    <w:p>
      <w:r>
        <w:br w:type="page"/>
      </w:r>
    </w:p>
    <w:p>
      <w:pPr>
        <w:pStyle w:val="Heading1"/>
        <w:spacing w:after="200" w:before="360"/>
      </w:pPr>
      <w:r>
        <w:rPr>
          <w:rFonts w:ascii="Arial" w:cs="Arial" w:eastAsia="Arial" w:hAnsi="Arial"/>
          <w:b/>
          <w:bCs/>
          <w:color w:val="1B3A5C"/>
          <w:sz w:val="32"/>
          <w:szCs w:val="32"/>
        </w:rPr>
        <w:t xml:space="preserve">6. Alternative Model Comparison</w:t>
      </w:r>
    </w:p>
    <w:p>
      <w:pPr>
        <w:pStyle w:val="Heading2"/>
        <w:spacing w:after="160" w:before="280"/>
      </w:pPr>
      <w:r>
        <w:rPr>
          <w:rFonts w:ascii="Arial" w:cs="Arial" w:eastAsia="Arial" w:hAnsi="Arial"/>
          <w:b/>
          <w:bCs/>
          <w:color w:val="2E75B6"/>
          <w:sz w:val="26"/>
          <w:szCs w:val="26"/>
        </w:rPr>
        <w:t xml:space="preserve">6.1 Model Variants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36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Notebook</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Approach</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 Finding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Original two-stage Ridge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Superseded by 06C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Structural predecessor; parameter calibration moved to NB05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NB06B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Improved diagnostics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Superseded by 06C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Added sensitivity analysis; best ideas retained in 06C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NB06D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Spend + Impressions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Validation layer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R² slightly better (+0.005) but only 12 months of impression data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Bayesian MMM (PyMC)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Supplementary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Full posterior distributions; better uncertainty quantification</w:t>
            </w:r>
          </w:p>
        </w:tc>
      </w:tr>
    </w:tbl>
    <w:p>
      <w:pPr>
        <w:spacing w:after="120"/>
        <w:jc w:val="left"/>
      </w:pPr>
      <w:r>
        <w:rPr>
          <w:rFonts w:ascii="Arial" w:cs="Arial" w:eastAsia="Arial" w:hAnsi="Arial"/>
          <w:color w:val="333333"/>
          <w:sz w:val="21"/>
          <w:szCs w:val="21"/>
        </w:rPr>
        <w:t xml:space="preserve"/>
      </w:r>
    </w:p>
    <w:p>
      <w:pPr>
        <w:pStyle w:val="Heading2"/>
        <w:spacing w:after="160" w:before="280"/>
      </w:pPr>
      <w:r>
        <w:rPr>
          <w:rFonts w:ascii="Arial" w:cs="Arial" w:eastAsia="Arial" w:hAnsi="Arial"/>
          <w:b/>
          <w:bCs/>
          <w:color w:val="2E75B6"/>
          <w:sz w:val="26"/>
          <w:szCs w:val="26"/>
        </w:rPr>
        <w:t xml:space="preserve">6.2 Impressions vs. Spend (NB06D)</w:t>
      </w:r>
    </w:p>
    <w:p>
      <w:pPr>
        <w:spacing w:after="120"/>
        <w:jc w:val="left"/>
      </w:pPr>
      <w:r>
        <w:rPr>
          <w:rFonts w:ascii="Arial" w:cs="Arial" w:eastAsia="Arial" w:hAnsi="Arial"/>
          <w:color w:val="333333"/>
          <w:sz w:val="21"/>
          <w:szCs w:val="21"/>
        </w:rPr>
        <w:t xml:space="preserve">NB06D enriched the model with impression data from the Tableau Medias, producing 14 features (7 channels × 2: spend + impressions). The validation study explicitly concluded: stay with 06C. The impression data only covers 12 months (FY2025), making it too sparse for reliable inference. However, CPM analysis showed a suggestive correlation for Preroll (r=0.64, p=0.245, N=5), indicating impressions could add value if 36 months of data were collected.</w:t>
      </w:r>
    </w:p>
    <w:p>
      <w:pPr>
        <w:spacing w:after="120"/>
        <w:jc w:val="left"/>
      </w:pPr>
      <w:r>
        <w:rPr>
          <w:rFonts w:ascii="Arial" w:cs="Arial" w:eastAsia="Arial" w:hAnsi="Arial"/>
          <w:b/>
          <w:bCs/>
          <w:color w:val="2E75B6"/>
          <w:sz w:val="21"/>
          <w:szCs w:val="21"/>
        </w:rPr>
        <w:t xml:space="preserve">Recommendation: </w:t>
      </w:r>
      <w:r>
        <w:rPr>
          <w:rFonts w:ascii="Arial" w:cs="Arial" w:eastAsia="Arial" w:hAnsi="Arial"/>
          <w:color w:val="333333"/>
          <w:sz w:val="21"/>
          <w:szCs w:val="21"/>
        </w:rPr>
        <w:t xml:space="preserve">Request 36-month impression/GRP data from media agency for future model iterations.</w:t>
      </w:r>
    </w:p>
    <w:p>
      <w:pPr>
        <w:pStyle w:val="Heading2"/>
        <w:spacing w:after="160" w:before="280"/>
      </w:pPr>
      <w:r>
        <w:rPr>
          <w:rFonts w:ascii="Arial" w:cs="Arial" w:eastAsia="Arial" w:hAnsi="Arial"/>
          <w:b/>
          <w:bCs/>
          <w:color w:val="2E75B6"/>
          <w:sz w:val="26"/>
          <w:szCs w:val="26"/>
        </w:rPr>
        <w:t xml:space="preserve">6.3 Bayesian MMM (NB08)</w:t>
      </w:r>
    </w:p>
    <w:p>
      <w:pPr>
        <w:spacing w:after="120"/>
        <w:jc w:val="left"/>
      </w:pPr>
      <w:r>
        <w:rPr>
          <w:rFonts w:ascii="Arial" w:cs="Arial" w:eastAsia="Arial" w:hAnsi="Arial"/>
          <w:color w:val="333333"/>
          <w:sz w:val="21"/>
          <w:szCs w:val="21"/>
        </w:rPr>
        <w:t xml:space="preserve">NB08 implements a PyMC-Marketing Bayesian model with full posterior distributions. The Bayesian approach is theoretically superior for small samples (N=36) because informative priors act as regularization without shrinkage bias. The comparison file (bayesian_vs_ridge_comparison.csv) exists but detailed results require further extraction.</w:t>
      </w:r>
    </w:p>
    <w:p>
      <w:pPr>
        <w:spacing w:after="120"/>
        <w:jc w:val="left"/>
      </w:pPr>
      <w:r>
        <w:rPr>
          <w:rFonts w:ascii="Arial" w:cs="Arial" w:eastAsia="Arial" w:hAnsi="Arial"/>
          <w:b/>
          <w:bCs/>
          <w:color w:val="2E75B6"/>
          <w:sz w:val="21"/>
          <w:szCs w:val="21"/>
        </w:rPr>
        <w:t xml:space="preserve">Recommendation: </w:t>
      </w:r>
      <w:r>
        <w:rPr>
          <w:rFonts w:ascii="Arial" w:cs="Arial" w:eastAsia="Arial" w:hAnsi="Arial"/>
          <w:color w:val="333333"/>
          <w:sz w:val="21"/>
          <w:szCs w:val="21"/>
        </w:rPr>
        <w:t xml:space="preserve">Use NB08 as a sensitivity check rather than replacement. If Bayesian and Ridge ROAS estimates agree, confidence in results is high. If they diverge, investigate the source of disagreement.</w:t>
      </w:r>
    </w:p>
    <w:p>
      <w:pPr>
        <w:pStyle w:val="Heading2"/>
        <w:spacing w:after="160" w:before="280"/>
      </w:pPr>
      <w:r>
        <w:rPr>
          <w:rFonts w:ascii="Arial" w:cs="Arial" w:eastAsia="Arial" w:hAnsi="Arial"/>
          <w:b/>
          <w:bCs/>
          <w:color w:val="2E75B6"/>
          <w:sz w:val="26"/>
          <w:szCs w:val="26"/>
        </w:rPr>
        <w:t xml:space="preserve">6.4 Cross-Model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60"/>
        <w:gridCol w:w="2000"/>
        <w:gridCol w:w="20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Channel</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06C Ridge</w:t>
            </w:r>
          </w:p>
        </w:tc>
        <w:tc>
          <w:tcPr>
            <w:tcW w:type="dxa" w:w="2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06D Impressions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Direction Match</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Confidence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Television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$10.13</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$7.27</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Both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Preroll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$68.48</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$31.44</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Both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Social Media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$120.19</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$23.09</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Both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Medium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Web Banners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−$10.52</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$2.22</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Opposite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Low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Radio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−$33.96</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−$10.41</w:t>
            </w:r>
          </w:p>
        </w:tc>
        <w:tc>
          <w:tcPr>
            <w:tcW w:type="dxa" w:w="2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Both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Low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Circulaire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$14.59</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−$1.27</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Opposite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Low</w:t>
            </w:r>
          </w:p>
        </w:tc>
      </w:tr>
    </w:tbl>
    <w:p>
      <w:pPr>
        <w:spacing w:after="120"/>
        <w:jc w:val="left"/>
      </w:pPr>
      <w:r>
        <w:rPr>
          <w:rFonts w:ascii="Arial" w:cs="Arial" w:eastAsia="Arial" w:hAnsi="Arial"/>
          <w:color w:val="333333"/>
          <w:sz w:val="21"/>
          <w:szCs w:val="21"/>
        </w:rPr>
        <w:t xml:space="preserve"/>
      </w:r>
    </w:p>
    <w:p>
      <w:pPr>
        <w:spacing w:after="120"/>
        <w:jc w:val="left"/>
      </w:pPr>
      <w:r>
        <w:rPr>
          <w:rFonts w:ascii="Arial" w:cs="Arial" w:eastAsia="Arial" w:hAnsi="Arial"/>
          <w:color w:val="333333"/>
          <w:sz w:val="21"/>
          <w:szCs w:val="21"/>
        </w:rPr>
        <w:t xml:space="preserve">TV, Preroll, and Social Media show consistent positive direction across methods, providing higher confidence. Radio and Panneaux consistently show negative/zero effects, though this likely reflects model artifacts rather than true ineffectiveness. Web Banners and Circulaire flip signs across models, indicating high uncertainty.</w:t>
      </w:r>
    </w:p>
    <w:p>
      <w:r>
        <w:br w:type="page"/>
      </w:r>
    </w:p>
    <w:p>
      <w:pPr>
        <w:pStyle w:val="Heading1"/>
        <w:spacing w:after="200" w:before="360"/>
      </w:pPr>
      <w:r>
        <w:rPr>
          <w:rFonts w:ascii="Arial" w:cs="Arial" w:eastAsia="Arial" w:hAnsi="Arial"/>
          <w:b/>
          <w:bCs/>
          <w:color w:val="1B3A5C"/>
          <w:sz w:val="32"/>
          <w:szCs w:val="32"/>
        </w:rPr>
        <w:t xml:space="preserve">7. Optimization Evaluation (NB07)</w:t>
      </w:r>
    </w:p>
    <w:p>
      <w:pPr>
        <w:pStyle w:val="Heading2"/>
        <w:spacing w:after="160" w:before="280"/>
      </w:pPr>
      <w:r>
        <w:rPr>
          <w:rFonts w:ascii="Arial" w:cs="Arial" w:eastAsia="Arial" w:hAnsi="Arial"/>
          <w:b/>
          <w:bCs/>
          <w:color w:val="2E75B6"/>
          <w:sz w:val="26"/>
          <w:szCs w:val="26"/>
        </w:rPr>
        <w:t xml:space="preserve">7.1 Formulation</w:t>
      </w:r>
    </w:p>
    <w:p>
      <w:pPr>
        <w:spacing w:after="120"/>
        <w:jc w:val="left"/>
      </w:pPr>
      <w:r>
        <w:rPr>
          <w:rFonts w:ascii="Arial" w:cs="Arial" w:eastAsia="Arial" w:hAnsi="Arial"/>
          <w:color w:val="333333"/>
          <w:sz w:val="21"/>
          <w:szCs w:val="21"/>
        </w:rPr>
        <w:t xml:space="preserve">NB07 implements a nonlinear budget optimization using the response functions estimated in NB06C. The optimizer maximizes total revenue subject to channel-level floor/ceiling constraints, a traditional/digital mix constraint, and confidence-based flexibility bounds.</w:t>
      </w:r>
    </w:p>
    <w:p>
      <w:pPr>
        <w:pStyle w:val="Heading2"/>
        <w:spacing w:after="160" w:before="280"/>
      </w:pPr>
      <w:r>
        <w:rPr>
          <w:rFonts w:ascii="Arial" w:cs="Arial" w:eastAsia="Arial" w:hAnsi="Arial"/>
          <w:b/>
          <w:bCs/>
          <w:color w:val="2E75B6"/>
          <w:sz w:val="26"/>
          <w:szCs w:val="26"/>
        </w:rPr>
        <w:t xml:space="preserve">7.2 Business Constraints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Constraint</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TV floor/ceiling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$80K–$180K monthly</w:t>
            </w:r>
          </w:p>
        </w:tc>
        <w:tc>
          <w:tcPr>
            <w:tcW w:type="dxa" w:w="3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Radio floor/ceiling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$30K–$90K</w:t>
            </w:r>
          </w:p>
        </w:tc>
        <w:tc>
          <w:tcPr>
            <w:tcW w:type="dxa" w:w="3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Panneaux floor/ceiling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$5K–$30K</w:t>
            </w:r>
          </w:p>
        </w:tc>
        <w:tc>
          <w:tcPr>
            <w:tcW w:type="dxa" w:w="3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Social Media floor/ceiling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$15K–$90K</w:t>
            </w:r>
          </w:p>
        </w:tc>
        <w:tc>
          <w:tcPr>
            <w:tcW w:type="dxa" w:w="3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Preroll floor/ceiling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$15K–$110K</w:t>
            </w:r>
          </w:p>
        </w:tc>
        <w:tc>
          <w:tcPr>
            <w:tcW w:type="dxa" w:w="3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Web Banners floor/ceiling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$20K–$80K</w:t>
            </w:r>
          </w:p>
        </w:tc>
        <w:tc>
          <w:tcPr>
            <w:tcW w:type="dxa" w:w="3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Digital Flyers floor/ceiling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$8K–$40K</w:t>
            </w:r>
          </w:p>
        </w:tc>
        <w:tc>
          <w:tcPr>
            <w:tcW w:type="dxa" w:w="3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Traditional/digital mix</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35–65% traditional</w:t>
            </w:r>
          </w:p>
        </w:tc>
        <w:tc>
          <w:tcPr>
            <w:tcW w:type="dxa" w:w="3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Confidence-based flexibility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HIGH=1.0, MED=0.5, LOW=0.25, NONE=0.2</w:t>
            </w:r>
          </w:p>
        </w:tc>
        <w:tc>
          <w:tcPr>
            <w:tcW w:type="dxa" w:w="3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color w:val="333333"/>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TV halo effect on other channels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Acknowledged in narrative</w:t>
            </w:r>
          </w:p>
        </w:tc>
        <w:tc>
          <w:tcPr>
            <w:tcW w:type="dxa" w:w="3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NOT modeled</w:t>
            </w:r>
          </w:p>
        </w:tc>
      </w:tr>
    </w:tbl>
    <w:p>
      <w:pPr>
        <w:spacing w:after="120"/>
        <w:jc w:val="left"/>
      </w:pPr>
      <w:r>
        <w:rPr>
          <w:rFonts w:ascii="Arial" w:cs="Arial" w:eastAsia="Arial" w:hAnsi="Arial"/>
          <w:color w:val="333333"/>
          <w:sz w:val="21"/>
          <w:szCs w:val="21"/>
        </w:rPr>
        <w:t xml:space="preserve"/>
      </w:r>
    </w:p>
    <w:p>
      <w:pPr>
        <w:pStyle w:val="Heading2"/>
        <w:spacing w:after="160" w:before="280"/>
      </w:pPr>
      <w:r>
        <w:rPr>
          <w:rFonts w:ascii="Arial" w:cs="Arial" w:eastAsia="Arial" w:hAnsi="Arial"/>
          <w:b/>
          <w:bCs/>
          <w:color w:val="2E75B6"/>
          <w:sz w:val="26"/>
          <w:szCs w:val="26"/>
        </w:rPr>
        <w:t xml:space="preserve">7.3 Scenario Results &amp;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60"/>
        <w:gridCol w:w="220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Scenario</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Claimed Result</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Realistic Estimate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Assessment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Business-constrained reallocation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+21.4% lift (same budget)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+5–15% lift</w:t>
            </w:r>
          </w:p>
        </w:tc>
        <w:tc>
          <w:tcPr>
            <w:tcW w:type="dxa" w:w="2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Overstated 2–3x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15% budget cut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−0.1% (matches current)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−8% to −12%</w:t>
            </w:r>
          </w:p>
        </w:tc>
        <w:tc>
          <w:tcPr>
            <w:tcW w:type="dxa" w:w="2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Overstated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 budget cut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+8.9% vs current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 to +3%</w:t>
            </w:r>
          </w:p>
        </w:tc>
        <w:tc>
          <w:tcPr>
            <w:tcW w:type="dxa" w:w="2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color w:val="333333"/>
                <w:sz w:val="18"/>
                <w:szCs w:val="18"/>
              </w:rPr>
              <w:t xml:space="preserve">Overstated</w:t>
            </w:r>
          </w:p>
        </w:tc>
      </w:tr>
    </w:tbl>
    <w:p>
      <w:pPr>
        <w:spacing w:after="120"/>
        <w:jc w:val="left"/>
      </w:pPr>
      <w:r>
        <w:rPr>
          <w:rFonts w:ascii="Arial" w:cs="Arial" w:eastAsia="Arial" w:hAnsi="Arial"/>
          <w:color w:val="333333"/>
          <w:sz w:val="21"/>
          <w:szCs w:val="21"/>
        </w:rPr>
        <w:t xml:space="preserve"/>
      </w:r>
    </w:p>
    <w:p>
      <w:pPr>
        <w:spacing w:after="120"/>
        <w:jc w:val="left"/>
      </w:pPr>
      <w:r>
        <w:rPr>
          <w:rFonts w:ascii="Arial" w:cs="Arial" w:eastAsia="Arial" w:hAnsi="Arial"/>
          <w:b/>
          <w:bCs/>
          <w:color w:val="C0392B"/>
          <w:sz w:val="21"/>
          <w:szCs w:val="21"/>
        </w:rPr>
        <w:t xml:space="preserve">The +21.4% optimization claim is likely overstated by 2–3x</w:t>
      </w:r>
      <w:r>
        <w:rPr>
          <w:rFonts w:ascii="Arial" w:cs="Arial" w:eastAsia="Arial" w:hAnsi="Arial"/>
          <w:color w:val="333333"/>
          <w:sz w:val="21"/>
          <w:szCs w:val="21"/>
        </w:rPr>
        <w:t xml:space="preserve"> because: (a) TV halo is not modeled, so reducing TV to the floor underestimates downstream impact; (b) ROAS estimates have wide confidence intervals; (c) three channels with ROAS=0 are pushed to floors without experimental validation; and (d) no sensitivity analysis quantifies how ROAS uncertainty propagates to optimal allocation.</w:t>
      </w:r>
    </w:p>
    <w:p>
      <w:pPr>
        <w:pStyle w:val="Heading2"/>
        <w:spacing w:after="160" w:before="280"/>
      </w:pPr>
      <w:r>
        <w:rPr>
          <w:rFonts w:ascii="Arial" w:cs="Arial" w:eastAsia="Arial" w:hAnsi="Arial"/>
          <w:b/>
          <w:bCs/>
          <w:color w:val="2E75B6"/>
          <w:sz w:val="26"/>
          <w:szCs w:val="26"/>
        </w:rPr>
        <w:t xml:space="preserve">7.4 Key Optimization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Recommendation</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Claimed</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Revised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Preroll allocation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+102% to $51K</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Increase, but validate with pilot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Social Media allocation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+56% to $36K</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Increase moderately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Web Banners allocation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+32% to $30K</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Hold pending sign-stability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TV allocation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Reduce to floor ($80K)</w:t>
            </w:r>
          </w:p>
        </w:tc>
        <w:tc>
          <w:tcPr>
            <w:tcW w:type="dxa" w:w="30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CAUTION: halo effect not captured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Radio allocation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At floor (ROAS=0)</w:t>
            </w:r>
          </w:p>
        </w:tc>
        <w:tc>
          <w:tcPr>
            <w:tcW w:type="dxa" w:w="30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CAUTION: contradicts client narrative</w:t>
            </w:r>
          </w:p>
        </w:tc>
      </w:tr>
    </w:tbl>
    <w:p>
      <w:pPr>
        <w:spacing w:after="120"/>
        <w:jc w:val="left"/>
      </w:pPr>
      <w:r>
        <w:rPr>
          <w:rFonts w:ascii="Arial" w:cs="Arial" w:eastAsia="Arial" w:hAnsi="Arial"/>
          <w:color w:val="333333"/>
          <w:sz w:val="21"/>
          <w:szCs w:val="21"/>
        </w:rPr>
        <w:t xml:space="preserve"/>
      </w:r>
    </w:p>
    <w:p>
      <w:pPr>
        <w:spacing w:after="120"/>
        <w:jc w:val="left"/>
      </w:pPr>
      <w:r>
        <w:rPr>
          <w:rFonts w:ascii="Arial" w:cs="Arial" w:eastAsia="Arial" w:hAnsi="Arial"/>
          <w:b/>
          <w:bCs/>
          <w:color w:val="E67E22"/>
          <w:sz w:val="21"/>
          <w:szCs w:val="21"/>
        </w:rPr>
        <w:t xml:space="preserve">Grade: B−</w:t>
      </w:r>
      <w:r>
        <w:rPr>
          <w:rFonts w:ascii="Arial" w:cs="Arial" w:eastAsia="Arial" w:hAnsi="Arial"/>
          <w:color w:val="333333"/>
          <w:sz w:val="21"/>
          <w:szCs w:val="21"/>
        </w:rPr>
        <w:t xml:space="preserve"> — Sound optimization framework with proper constraint implementation. However, results are overstated due to missing TV halo, wide ROAS uncertainty, and no sensitivity analysis.</w:t>
      </w:r>
    </w:p>
    <w:p>
      <w:r>
        <w:br w:type="page"/>
      </w:r>
    </w:p>
    <w:p>
      <w:pPr>
        <w:pStyle w:val="Heading1"/>
        <w:spacing w:after="200" w:before="360"/>
      </w:pPr>
      <w:r>
        <w:rPr>
          <w:rFonts w:ascii="Arial" w:cs="Arial" w:eastAsia="Arial" w:hAnsi="Arial"/>
          <w:b/>
          <w:bCs/>
          <w:color w:val="1B3A5C"/>
          <w:sz w:val="32"/>
          <w:szCs w:val="32"/>
        </w:rPr>
        <w:t xml:space="preserve">8. Comparison with Open-Source MMM Frameworks</w:t>
      </w:r>
    </w:p>
    <w:p>
      <w:pPr>
        <w:pStyle w:val="Heading2"/>
        <w:spacing w:after="160" w:before="280"/>
      </w:pPr>
      <w:r>
        <w:rPr>
          <w:rFonts w:ascii="Arial" w:cs="Arial" w:eastAsia="Arial" w:hAnsi="Arial"/>
          <w:b/>
          <w:bCs/>
          <w:color w:val="2E75B6"/>
          <w:sz w:val="26"/>
          <w:szCs w:val="26"/>
        </w:rPr>
        <w:t xml:space="preserve">8.1 Framework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1860"/>
        <w:gridCol w:w="20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Feature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Club Piscine (06C)</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Google Meridian</w:t>
            </w:r>
          </w:p>
        </w:tc>
        <w:tc>
          <w:tcPr>
            <w:tcW w:type="dxa" w:w="1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Meta Robyn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PyMC-Marketing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Core method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Ridge + NNLS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Bayesian (TFP)</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Ridge + Nevergrad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Bayesian (PyMC)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Adstock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Geometric only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Geometric + Binomial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Geometric + Weibull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Geometric (extensible)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Saturation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Hill + Log + Power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Hill (2-param)</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Hill (2-param)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Hill + custom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Seasonality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Two-stage Fourier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GP + Fourier</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Prophet (auto)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GP + Fourier + TVP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Hyperparameter opt.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Grid search (manual)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Bayesian inference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Nevergrad (2000+ iter)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Bayesian inference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Uncertainty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Bootstrap CIs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Posterior distributions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Bootstrap + Pareto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Posterior distributions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Interaction terms</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Supported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Supported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Supported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Time-varying params</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Hierarchical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Not native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GP-based TVP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Geo-level support</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Core feature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Not native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Hierarchical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Min data (weekly)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36 monthly (used)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104+ weekly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156+ weekly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52+ weekly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Calibration</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color w:val="333333"/>
                <w:sz w:val="18"/>
                <w:szCs w:val="18"/>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Lift test integration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Lift test integration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Prior from experiments</w:t>
            </w:r>
          </w:p>
        </w:tc>
      </w:tr>
    </w:tbl>
    <w:p>
      <w:pPr>
        <w:spacing w:after="120"/>
        <w:jc w:val="left"/>
      </w:pPr>
      <w:r>
        <w:rPr>
          <w:rFonts w:ascii="Arial" w:cs="Arial" w:eastAsia="Arial" w:hAnsi="Arial"/>
          <w:color w:val="333333"/>
          <w:sz w:val="21"/>
          <w:szCs w:val="21"/>
        </w:rPr>
        <w:t xml:space="preserve"/>
      </w:r>
    </w:p>
    <w:p>
      <w:pPr>
        <w:pStyle w:val="Heading2"/>
        <w:spacing w:after="160" w:before="280"/>
      </w:pPr>
      <w:r>
        <w:rPr>
          <w:rFonts w:ascii="Arial" w:cs="Arial" w:eastAsia="Arial" w:hAnsi="Arial"/>
          <w:b/>
          <w:bCs/>
          <w:color w:val="2E75B6"/>
          <w:sz w:val="26"/>
          <w:szCs w:val="26"/>
        </w:rPr>
        <w:t xml:space="preserve">8.2 Key Literature Insights</w:t>
      </w:r>
    </w:p>
    <w:p>
      <w:pPr>
        <w:pStyle w:val="Heading3"/>
        <w:spacing w:after="120" w:before="200"/>
      </w:pPr>
      <w:r>
        <w:rPr>
          <w:rFonts w:ascii="Arial" w:cs="Arial" w:eastAsia="Arial" w:hAnsi="Arial"/>
          <w:b/>
          <w:bCs/>
          <w:color w:val="1B3A5C"/>
          <w:sz w:val="22"/>
          <w:szCs w:val="22"/>
        </w:rPr>
        <w:t xml:space="preserve">8.2.1 Sample Size Standards</w:t>
      </w:r>
    </w:p>
    <w:p>
      <w:pPr>
        <w:spacing w:after="120"/>
        <w:jc w:val="left"/>
      </w:pPr>
      <w:r>
        <w:rPr>
          <w:rFonts w:ascii="Arial" w:cs="Arial" w:eastAsia="Arial" w:hAnsi="Arial"/>
          <w:color w:val="333333"/>
          <w:sz w:val="21"/>
          <w:szCs w:val="21"/>
        </w:rPr>
        <w:t xml:space="preserve">Industry consensus requires a minimum 10:1 observation-to-parameter ratio. With N=36 and 14 parameters, Club Piscine achieves only 2.6:1. Both Google and Meta recommend 2–3 years of weekly data (104–156 observations). The project has 156 weekly observations available but aggregates to 36 monthly, creating an unnecessary constraint.</w:t>
      </w:r>
    </w:p>
    <w:p>
      <w:pPr>
        <w:pStyle w:val="Heading3"/>
        <w:spacing w:after="120" w:before="200"/>
      </w:pPr>
      <w:r>
        <w:rPr>
          <w:rFonts w:ascii="Arial" w:cs="Arial" w:eastAsia="Arial" w:hAnsi="Arial"/>
          <w:b/>
          <w:bCs/>
          <w:color w:val="1B3A5C"/>
          <w:sz w:val="22"/>
          <w:szCs w:val="22"/>
        </w:rPr>
        <w:t xml:space="preserve">8.2.2 Spend vs. Impressions</w:t>
      </w:r>
    </w:p>
    <w:p>
      <w:pPr>
        <w:spacing w:after="120"/>
        <w:jc w:val="left"/>
      </w:pPr>
      <w:r>
        <w:rPr>
          <w:rFonts w:ascii="Arial" w:cs="Arial" w:eastAsia="Arial" w:hAnsi="Arial"/>
          <w:color w:val="333333"/>
          <w:sz w:val="21"/>
          <w:szCs w:val="21"/>
        </w:rPr>
        <w:t xml:space="preserve">Academic best practice (MASS Analytics, Google Meridian documentation) recommends exposure metrics (impressions, GRPs) over spend, because CPM fluctuations conflate price changes with effectiveness. Club Piscine uses spend-only due to limited impression data (12 months). This is pragmatically justified but should be noted as a limitation.</w:t>
      </w:r>
    </w:p>
    <w:p>
      <w:pPr>
        <w:pStyle w:val="Heading3"/>
        <w:spacing w:after="120" w:before="200"/>
      </w:pPr>
      <w:r>
        <w:rPr>
          <w:rFonts w:ascii="Arial" w:cs="Arial" w:eastAsia="Arial" w:hAnsi="Arial"/>
          <w:b/>
          <w:bCs/>
          <w:color w:val="1B3A5C"/>
          <w:sz w:val="22"/>
          <w:szCs w:val="22"/>
        </w:rPr>
        <w:t xml:space="preserve">8.2.3 Two-Stage vs. Joint Modeling</w:t>
      </w:r>
    </w:p>
    <w:p>
      <w:pPr>
        <w:spacing w:after="120"/>
        <w:jc w:val="left"/>
      </w:pPr>
      <w:r>
        <w:rPr>
          <w:rFonts w:ascii="Arial" w:cs="Arial" w:eastAsia="Arial" w:hAnsi="Arial"/>
          <w:color w:val="333333"/>
          <w:sz w:val="21"/>
          <w:szCs w:val="21"/>
        </w:rPr>
        <w:t xml:space="preserve">Current SOTA (Meridian, PyMC-Marketing, Robyn) favors joint modeling where baseline, seasonality, and media effects are estimated simultaneously. Club Piscine’s two-stage approach (decompose seasonality first, then fit media to residuals) is interpretable and defensible but risks attributing media-driven seasonal variation to the baseline, understating media effects.</w:t>
      </w:r>
    </w:p>
    <w:p>
      <w:pPr>
        <w:pStyle w:val="Heading3"/>
        <w:spacing w:after="120" w:before="200"/>
      </w:pPr>
      <w:r>
        <w:rPr>
          <w:rFonts w:ascii="Arial" w:cs="Arial" w:eastAsia="Arial" w:hAnsi="Arial"/>
          <w:b/>
          <w:bCs/>
          <w:color w:val="1B3A5C"/>
          <w:sz w:val="22"/>
          <w:szCs w:val="22"/>
        </w:rPr>
        <w:t xml:space="preserve">8.2.4 Experimental Calibration</w:t>
      </w:r>
    </w:p>
    <w:p>
      <w:pPr>
        <w:spacing w:after="120"/>
        <w:jc w:val="left"/>
      </w:pPr>
      <w:r>
        <w:rPr>
          <w:rFonts w:ascii="Arial" w:cs="Arial" w:eastAsia="Arial" w:hAnsi="Arial"/>
          <w:color w:val="333333"/>
          <w:sz w:val="21"/>
          <w:szCs w:val="21"/>
        </w:rPr>
        <w:t xml:space="preserve">Chan &amp; Perry (2017) identify the most critical gap in MMM practice: </w:t>
      </w:r>
      <w:r>
        <w:rPr>
          <w:rFonts w:ascii="Arial" w:cs="Arial" w:eastAsia="Arial" w:hAnsi="Arial"/>
          <w:b/>
          <w:bCs/>
          <w:color w:val="C0392B"/>
          <w:sz w:val="21"/>
          <w:szCs w:val="21"/>
        </w:rPr>
        <w:t xml:space="preserve">different models fitting the same data equally well produce contradictory budget recommendations.</w:t>
      </w:r>
      <w:r>
        <w:rPr>
          <w:rFonts w:ascii="Arial" w:cs="Arial" w:eastAsia="Arial" w:hAnsi="Arial"/>
          <w:color w:val="333333"/>
          <w:sz w:val="21"/>
          <w:szCs w:val="21"/>
        </w:rPr>
        <w:t xml:space="preserve"> The solution is experimental calibration via geo-lift tests or RCTs. Club Piscine has no experimental calibration, making the +21.4% optimization claim ungrounded.</w:t>
      </w:r>
    </w:p>
    <w:p>
      <w:pPr>
        <w:pStyle w:val="Heading2"/>
        <w:spacing w:after="160" w:before="280"/>
      </w:pPr>
      <w:r>
        <w:rPr>
          <w:rFonts w:ascii="Arial" w:cs="Arial" w:eastAsia="Arial" w:hAnsi="Arial"/>
          <w:b/>
          <w:bCs/>
          <w:color w:val="2E75B6"/>
          <w:sz w:val="26"/>
          <w:szCs w:val="26"/>
        </w:rPr>
        <w:t xml:space="preserve">8.3 What Club Piscine Does Well vs. SOTA</w:t>
      </w:r>
    </w:p>
    <w:p>
      <w:pPr>
        <w:pStyle w:val="ListParagraph"/>
        <w:numPr>
          <w:ilvl w:val="0"/>
          <w:numId w:val="2"/>
        </w:numPr>
        <w:spacing w:after="60"/>
      </w:pPr>
      <w:r>
        <w:rPr>
          <w:rFonts w:ascii="Arial" w:cs="Arial" w:eastAsia="Arial" w:hAnsi="Arial"/>
          <w:b/>
          <w:bCs/>
          <w:color w:val="27AE60"/>
          <w:sz w:val="21"/>
          <w:szCs w:val="21"/>
        </w:rPr>
        <w:t xml:space="preserve">Aligned: </w:t>
      </w:r>
      <w:r>
        <w:rPr>
          <w:rFonts w:ascii="Arial" w:cs="Arial" w:eastAsia="Arial" w:hAnsi="Arial"/>
          <w:color w:val="333333"/>
          <w:sz w:val="21"/>
          <w:szCs w:val="21"/>
        </w:rPr>
        <w:t xml:space="preserve">Ridge regression + NNLS (identical to Meta Robyn’s core engine)</w:t>
      </w:r>
    </w:p>
    <w:p>
      <w:pPr>
        <w:pStyle w:val="ListParagraph"/>
        <w:numPr>
          <w:ilvl w:val="0"/>
          <w:numId w:val="2"/>
        </w:numPr>
        <w:spacing w:after="60"/>
      </w:pPr>
      <w:r>
        <w:rPr>
          <w:rFonts w:ascii="Arial" w:cs="Arial" w:eastAsia="Arial" w:hAnsi="Arial"/>
          <w:b/>
          <w:bCs/>
          <w:color w:val="27AE60"/>
          <w:sz w:val="21"/>
          <w:szCs w:val="21"/>
        </w:rPr>
        <w:t xml:space="preserve">Aligned: </w:t>
      </w:r>
      <w:r>
        <w:rPr>
          <w:rFonts w:ascii="Arial" w:cs="Arial" w:eastAsia="Arial" w:hAnsi="Arial"/>
          <w:color w:val="333333"/>
          <w:sz w:val="21"/>
          <w:szCs w:val="21"/>
        </w:rPr>
        <w:t xml:space="preserve">Hill saturation function (standard across all three frameworks)</w:t>
      </w:r>
    </w:p>
    <w:p>
      <w:pPr>
        <w:pStyle w:val="ListParagraph"/>
        <w:numPr>
          <w:ilvl w:val="0"/>
          <w:numId w:val="2"/>
        </w:numPr>
        <w:spacing w:after="60"/>
      </w:pPr>
      <w:r>
        <w:rPr>
          <w:rFonts w:ascii="Arial" w:cs="Arial" w:eastAsia="Arial" w:hAnsi="Arial"/>
          <w:b/>
          <w:bCs/>
          <w:color w:val="27AE60"/>
          <w:sz w:val="21"/>
          <w:szCs w:val="21"/>
        </w:rPr>
        <w:t xml:space="preserve">Aligned: </w:t>
      </w:r>
      <w:r>
        <w:rPr>
          <w:rFonts w:ascii="Arial" w:cs="Arial" w:eastAsia="Arial" w:hAnsi="Arial"/>
          <w:color w:val="333333"/>
          <w:sz w:val="21"/>
          <w:szCs w:val="21"/>
        </w:rPr>
        <w:t xml:space="preserve">Bootstrap confidence intervals and LOOCV robustness checks</w:t>
      </w:r>
    </w:p>
    <w:p>
      <w:pPr>
        <w:pStyle w:val="ListParagraph"/>
        <w:numPr>
          <w:ilvl w:val="0"/>
          <w:numId w:val="2"/>
        </w:numPr>
        <w:spacing w:after="60"/>
      </w:pPr>
      <w:r>
        <w:rPr>
          <w:rFonts w:ascii="Arial" w:cs="Arial" w:eastAsia="Arial" w:hAnsi="Arial"/>
          <w:b/>
          <w:bCs/>
          <w:color w:val="27AE60"/>
          <w:sz w:val="21"/>
          <w:szCs w:val="21"/>
        </w:rPr>
        <w:t xml:space="preserve">Aligned: </w:t>
      </w:r>
      <w:r>
        <w:rPr>
          <w:rFonts w:ascii="Arial" w:cs="Arial" w:eastAsia="Arial" w:hAnsi="Arial"/>
          <w:color w:val="333333"/>
          <w:sz w:val="21"/>
          <w:szCs w:val="21"/>
        </w:rPr>
        <w:t xml:space="preserve">Business constraint-aware optimization (mirrors Robyn’s allocator)</w:t>
      </w:r>
    </w:p>
    <w:p>
      <w:pPr>
        <w:pStyle w:val="ListParagraph"/>
        <w:numPr>
          <w:ilvl w:val="0"/>
          <w:numId w:val="2"/>
        </w:numPr>
        <w:spacing w:after="60"/>
      </w:pPr>
      <w:r>
        <w:rPr>
          <w:rFonts w:ascii="Arial" w:cs="Arial" w:eastAsia="Arial" w:hAnsi="Arial"/>
          <w:b/>
          <w:bCs/>
          <w:color w:val="C0392B"/>
          <w:sz w:val="21"/>
          <w:szCs w:val="21"/>
        </w:rPr>
        <w:t xml:space="preserve">Behind: </w:t>
      </w:r>
      <w:r>
        <w:rPr>
          <w:rFonts w:ascii="Arial" w:cs="Arial" w:eastAsia="Arial" w:hAnsi="Arial"/>
          <w:color w:val="333333"/>
          <w:sz w:val="21"/>
          <w:szCs w:val="21"/>
        </w:rPr>
        <w:t xml:space="preserve">No Bayesian uncertainty quantification (vs. Meridian, PyMC-Marketing)</w:t>
      </w:r>
    </w:p>
    <w:p>
      <w:pPr>
        <w:pStyle w:val="ListParagraph"/>
        <w:numPr>
          <w:ilvl w:val="0"/>
          <w:numId w:val="2"/>
        </w:numPr>
        <w:spacing w:after="60"/>
      </w:pPr>
      <w:r>
        <w:rPr>
          <w:rFonts w:ascii="Arial" w:cs="Arial" w:eastAsia="Arial" w:hAnsi="Arial"/>
          <w:b/>
          <w:bCs/>
          <w:color w:val="C0392B"/>
          <w:sz w:val="21"/>
          <w:szCs w:val="21"/>
        </w:rPr>
        <w:t xml:space="preserve">Behind: </w:t>
      </w:r>
      <w:r>
        <w:rPr>
          <w:rFonts w:ascii="Arial" w:cs="Arial" w:eastAsia="Arial" w:hAnsi="Arial"/>
          <w:color w:val="333333"/>
          <w:sz w:val="21"/>
          <w:szCs w:val="21"/>
        </w:rPr>
        <w:t xml:space="preserve">Manual grid search vs. Nevergrad (Robyn) or Bayesian inference</w:t>
      </w:r>
    </w:p>
    <w:p>
      <w:pPr>
        <w:pStyle w:val="ListParagraph"/>
        <w:numPr>
          <w:ilvl w:val="0"/>
          <w:numId w:val="2"/>
        </w:numPr>
        <w:spacing w:after="60"/>
      </w:pPr>
      <w:r>
        <w:rPr>
          <w:rFonts w:ascii="Arial" w:cs="Arial" w:eastAsia="Arial" w:hAnsi="Arial"/>
          <w:b/>
          <w:bCs/>
          <w:color w:val="C0392B"/>
          <w:sz w:val="21"/>
          <w:szCs w:val="21"/>
        </w:rPr>
        <w:t xml:space="preserve">Behind: </w:t>
      </w:r>
      <w:r>
        <w:rPr>
          <w:rFonts w:ascii="Arial" w:cs="Arial" w:eastAsia="Arial" w:hAnsi="Arial"/>
          <w:color w:val="333333"/>
          <w:sz w:val="21"/>
          <w:szCs w:val="21"/>
        </w:rPr>
        <w:t xml:space="preserve">No interaction terms, no time-varying parameters, no geo-level modeling</w:t>
      </w:r>
    </w:p>
    <w:p>
      <w:pPr>
        <w:pStyle w:val="ListParagraph"/>
        <w:numPr>
          <w:ilvl w:val="0"/>
          <w:numId w:val="2"/>
        </w:numPr>
        <w:spacing w:after="60"/>
      </w:pPr>
      <w:r>
        <w:rPr>
          <w:rFonts w:ascii="Arial" w:cs="Arial" w:eastAsia="Arial" w:hAnsi="Arial"/>
          <w:b/>
          <w:bCs/>
          <w:color w:val="C0392B"/>
          <w:sz w:val="21"/>
          <w:szCs w:val="21"/>
        </w:rPr>
        <w:t xml:space="preserve">Behind: </w:t>
      </w:r>
      <w:r>
        <w:rPr>
          <w:rFonts w:ascii="Arial" w:cs="Arial" w:eastAsia="Arial" w:hAnsi="Arial"/>
          <w:color w:val="333333"/>
          <w:sz w:val="21"/>
          <w:szCs w:val="21"/>
        </w:rPr>
        <w:t xml:space="preserve">No experimental calibration framework</w:t>
      </w:r>
    </w:p>
    <w:p>
      <w:r>
        <w:br w:type="page"/>
      </w:r>
    </w:p>
    <w:p>
      <w:pPr>
        <w:pStyle w:val="Heading1"/>
        <w:spacing w:after="200" w:before="360"/>
      </w:pPr>
      <w:r>
        <w:rPr>
          <w:rFonts w:ascii="Arial" w:cs="Arial" w:eastAsia="Arial" w:hAnsi="Arial"/>
          <w:b/>
          <w:bCs/>
          <w:color w:val="1B3A5C"/>
          <w:sz w:val="32"/>
          <w:szCs w:val="32"/>
        </w:rPr>
        <w:t xml:space="preserve">9. Prioritized Recommendations</w:t>
      </w:r>
    </w:p>
    <w:p>
      <w:pPr>
        <w:pStyle w:val="Heading2"/>
        <w:spacing w:after="160" w:before="280"/>
      </w:pPr>
      <w:r>
        <w:rPr>
          <w:rFonts w:ascii="Arial" w:cs="Arial" w:eastAsia="Arial" w:hAnsi="Arial"/>
          <w:b/>
          <w:bCs/>
          <w:color w:val="2E75B6"/>
          <w:sz w:val="26"/>
          <w:szCs w:val="26"/>
        </w:rPr>
        <w:t xml:space="preserve">9.1 Critical (Before Client Presentation)</w:t>
      </w:r>
    </w:p>
    <w:p>
      <w:pPr>
        <w:pStyle w:val="ListParagraph"/>
        <w:numPr>
          <w:ilvl w:val="0"/>
          <w:numId w:val="3"/>
        </w:numPr>
        <w:spacing w:after="80"/>
      </w:pPr>
      <w:r>
        <w:rPr>
          <w:rFonts w:ascii="Arial" w:cs="Arial" w:eastAsia="Arial" w:hAnsi="Arial"/>
          <w:b/>
          <w:bCs/>
          <w:sz w:val="21"/>
          <w:szCs w:val="21"/>
        </w:rPr>
        <w:t xml:space="preserve">Migrate to weekly data (N=156). </w:t>
      </w:r>
      <w:r>
        <w:rPr>
          <w:rFonts w:ascii="Arial" w:cs="Arial" w:eastAsia="Arial" w:hAnsi="Arial"/>
          <w:sz w:val="21"/>
          <w:szCs w:val="21"/>
        </w:rPr>
        <w:t xml:space="preserve">This single change improves the parameter ratio from 2.6:1 to 11:1 and requires minimal pipeline modification. It is the highest-impact improvement available.</w:t>
      </w:r>
    </w:p>
    <w:p>
      <w:pPr>
        <w:pStyle w:val="ListParagraph"/>
        <w:numPr>
          <w:ilvl w:val="0"/>
          <w:numId w:val="3"/>
        </w:numPr>
        <w:spacing w:after="80"/>
      </w:pPr>
      <w:r>
        <w:rPr>
          <w:rFonts w:ascii="Arial" w:cs="Arial" w:eastAsia="Arial" w:hAnsi="Arial"/>
          <w:b/>
          <w:bCs/>
          <w:sz w:val="21"/>
          <w:szCs w:val="21"/>
        </w:rPr>
        <w:t xml:space="preserve">Investigate negative ROAS channels. </w:t>
      </w:r>
      <w:r>
        <w:rPr>
          <w:rFonts w:ascii="Arial" w:cs="Arial" w:eastAsia="Arial" w:hAnsi="Arial"/>
          <w:sz w:val="21"/>
          <w:szCs w:val="21"/>
        </w:rPr>
        <w:t xml:space="preserve">Compute VIF, analyze multicollinearity between Radio/TV/Panneaux. Reconcile with client narrative before presenting zero-ROAS findings.</w:t>
      </w:r>
    </w:p>
    <w:p>
      <w:pPr>
        <w:pStyle w:val="ListParagraph"/>
        <w:numPr>
          <w:ilvl w:val="0"/>
          <w:numId w:val="3"/>
        </w:numPr>
        <w:spacing w:after="80"/>
      </w:pPr>
      <w:r>
        <w:rPr>
          <w:rFonts w:ascii="Arial" w:cs="Arial" w:eastAsia="Arial" w:hAnsi="Arial"/>
          <w:b/>
          <w:bCs/>
          <w:sz w:val="21"/>
          <w:szCs w:val="21"/>
        </w:rPr>
        <w:t xml:space="preserve">Recalibrate TV decay rate. </w:t>
      </w:r>
      <w:r>
        <w:rPr>
          <w:rFonts w:ascii="Arial" w:cs="Arial" w:eastAsia="Arial" w:hAnsi="Arial"/>
          <w:sz w:val="21"/>
          <w:szCs w:val="21"/>
        </w:rPr>
        <w:t xml:space="preserve">Current λ=0.1 is 36x faster than literature. Test λ=0.3–0.6 as sensitivity analysis; document impact on ROAS and optimization.</w:t>
      </w:r>
    </w:p>
    <w:p>
      <w:pPr>
        <w:pStyle w:val="ListParagraph"/>
        <w:numPr>
          <w:ilvl w:val="0"/>
          <w:numId w:val="3"/>
        </w:numPr>
        <w:spacing w:after="80"/>
      </w:pPr>
      <w:r>
        <w:rPr>
          <w:rFonts w:ascii="Arial" w:cs="Arial" w:eastAsia="Arial" w:hAnsi="Arial"/>
          <w:b/>
          <w:bCs/>
          <w:sz w:val="21"/>
          <w:szCs w:val="21"/>
        </w:rPr>
        <w:t xml:space="preserve">Revise optimization claims. </w:t>
      </w:r>
      <w:r>
        <w:rPr>
          <w:rFonts w:ascii="Arial" w:cs="Arial" w:eastAsia="Arial" w:hAnsi="Arial"/>
          <w:sz w:val="21"/>
          <w:szCs w:val="21"/>
        </w:rPr>
        <w:t xml:space="preserve">Present +5–15% realistic range instead of +21.4%. Run sensitivity analysis (±20% on ROAS) to show allocation stability.</w:t>
      </w:r>
    </w:p>
    <w:p>
      <w:pPr>
        <w:pStyle w:val="Heading2"/>
        <w:spacing w:after="160" w:before="280"/>
      </w:pPr>
      <w:r>
        <w:rPr>
          <w:rFonts w:ascii="Arial" w:cs="Arial" w:eastAsia="Arial" w:hAnsi="Arial"/>
          <w:b/>
          <w:bCs/>
          <w:color w:val="2E75B6"/>
          <w:sz w:val="26"/>
          <w:szCs w:val="26"/>
        </w:rPr>
        <w:t xml:space="preserve">9.2 High Priority (Next Sprint)</w:t>
      </w:r>
    </w:p>
    <w:p>
      <w:pPr>
        <w:pStyle w:val="ListParagraph"/>
        <w:numPr>
          <w:ilvl w:val="0"/>
          <w:numId w:val="4"/>
        </w:numPr>
        <w:spacing w:after="80"/>
      </w:pPr>
      <w:r>
        <w:rPr>
          <w:rFonts w:ascii="Arial" w:cs="Arial" w:eastAsia="Arial" w:hAnsi="Arial"/>
          <w:b/>
          <w:bCs/>
          <w:sz w:val="21"/>
          <w:szCs w:val="21"/>
        </w:rPr>
        <w:t xml:space="preserve">Fix weather features. </w:t>
      </w:r>
      <w:r>
        <w:rPr>
          <w:rFonts w:ascii="Arial" w:cs="Arial" w:eastAsia="Arial" w:hAnsi="Arial"/>
          <w:sz w:val="21"/>
          <w:szCs w:val="21"/>
        </w:rPr>
        <w:t xml:space="preserve">Replace absolute values with deviations from monthly means. This reduces VIF from 33 to ~2–3 and enables weather attribution.</w:t>
      </w:r>
    </w:p>
    <w:p>
      <w:pPr>
        <w:pStyle w:val="ListParagraph"/>
        <w:numPr>
          <w:ilvl w:val="0"/>
          <w:numId w:val="4"/>
        </w:numPr>
        <w:spacing w:after="80"/>
      </w:pPr>
      <w:r>
        <w:rPr>
          <w:rFonts w:ascii="Arial" w:cs="Arial" w:eastAsia="Arial" w:hAnsi="Arial"/>
          <w:b/>
          <w:bCs/>
          <w:sz w:val="21"/>
          <w:szCs w:val="21"/>
        </w:rPr>
        <w:t xml:space="preserve">Add 2–3 interaction terms. </w:t>
      </w:r>
      <w:r>
        <w:rPr>
          <w:rFonts w:ascii="Arial" w:cs="Arial" w:eastAsia="Arial" w:hAnsi="Arial"/>
          <w:sz w:val="21"/>
          <w:szCs w:val="21"/>
        </w:rPr>
        <w:t xml:space="preserve">TV × Preroll and TV × Social to capture halo effects. Feasible even with N=36 if limited to 2–3 terms.</w:t>
      </w:r>
    </w:p>
    <w:p>
      <w:pPr>
        <w:pStyle w:val="ListParagraph"/>
        <w:numPr>
          <w:ilvl w:val="0"/>
          <w:numId w:val="4"/>
        </w:numPr>
        <w:spacing w:after="80"/>
      </w:pPr>
      <w:r>
        <w:rPr>
          <w:rFonts w:ascii="Arial" w:cs="Arial" w:eastAsia="Arial" w:hAnsi="Arial"/>
          <w:b/>
          <w:bCs/>
          <w:sz w:val="21"/>
          <w:szCs w:val="21"/>
        </w:rPr>
        <w:t xml:space="preserve">Create business calendar. </w:t>
      </w:r>
      <w:r>
        <w:rPr>
          <w:rFonts w:ascii="Arial" w:cs="Arial" w:eastAsia="Arial" w:hAnsi="Arial"/>
          <w:sz w:val="21"/>
          <w:szCs w:val="21"/>
        </w:rPr>
        <w:t xml:space="preserve">Add holiday dummies (Easter, Victoria Day, Labour Day, Black Friday), promotional periods, and COVID phase indicators.</w:t>
      </w:r>
    </w:p>
    <w:p>
      <w:pPr>
        <w:pStyle w:val="ListParagraph"/>
        <w:numPr>
          <w:ilvl w:val="0"/>
          <w:numId w:val="4"/>
        </w:numPr>
        <w:spacing w:after="80"/>
      </w:pPr>
      <w:r>
        <w:rPr>
          <w:rFonts w:ascii="Arial" w:cs="Arial" w:eastAsia="Arial" w:hAnsi="Arial"/>
          <w:b/>
          <w:bCs/>
          <w:sz w:val="21"/>
          <w:szCs w:val="21"/>
        </w:rPr>
        <w:t xml:space="preserve">Add second Fourier harmonic. </w:t>
      </w:r>
      <w:r>
        <w:rPr>
          <w:rFonts w:ascii="Arial" w:cs="Arial" w:eastAsia="Arial" w:hAnsi="Arial"/>
          <w:sz w:val="21"/>
          <w:szCs w:val="21"/>
        </w:rPr>
        <w:t xml:space="preserve">sin_2/cos_2 to capture the dominant 6-month semi-annual seasonal pattern.</w:t>
      </w:r>
    </w:p>
    <w:p>
      <w:pPr>
        <w:pStyle w:val="Heading2"/>
        <w:spacing w:after="160" w:before="280"/>
      </w:pPr>
      <w:r>
        <w:rPr>
          <w:rFonts w:ascii="Arial" w:cs="Arial" w:eastAsia="Arial" w:hAnsi="Arial"/>
          <w:b/>
          <w:bCs/>
          <w:color w:val="2E75B6"/>
          <w:sz w:val="26"/>
          <w:szCs w:val="26"/>
        </w:rPr>
        <w:t xml:space="preserve">9.3 Medium Priority (Q2 2026)</w:t>
      </w:r>
    </w:p>
    <w:p>
      <w:pPr>
        <w:pStyle w:val="ListParagraph"/>
        <w:numPr>
          <w:ilvl w:val="0"/>
          <w:numId w:val="5"/>
        </w:numPr>
        <w:spacing w:after="80"/>
      </w:pPr>
      <w:r>
        <w:rPr>
          <w:rFonts w:ascii="Arial" w:cs="Arial" w:eastAsia="Arial" w:hAnsi="Arial"/>
          <w:b/>
          <w:bCs/>
          <w:sz w:val="21"/>
          <w:szCs w:val="21"/>
        </w:rPr>
        <w:t xml:space="preserve">Design geo-lift experiment. </w:t>
      </w:r>
      <w:r>
        <w:rPr>
          <w:rFonts w:ascii="Arial" w:cs="Arial" w:eastAsia="Arial" w:hAnsi="Arial"/>
          <w:sz w:val="21"/>
          <w:szCs w:val="21"/>
        </w:rPr>
        <w:t xml:space="preserve">Hold out 2 stores from TV or Preroll spend for 1 quarter. Compare observed vs. predicted ROAS to validate model.</w:t>
      </w:r>
    </w:p>
    <w:p>
      <w:pPr>
        <w:pStyle w:val="ListParagraph"/>
        <w:numPr>
          <w:ilvl w:val="0"/>
          <w:numId w:val="5"/>
        </w:numPr>
        <w:spacing w:after="80"/>
      </w:pPr>
      <w:r>
        <w:rPr>
          <w:rFonts w:ascii="Arial" w:cs="Arial" w:eastAsia="Arial" w:hAnsi="Arial"/>
          <w:b/>
          <w:bCs/>
          <w:sz w:val="21"/>
          <w:szCs w:val="21"/>
        </w:rPr>
        <w:t xml:space="preserve">Request 36-month impression data from agency. </w:t>
      </w:r>
      <w:r>
        <w:rPr>
          <w:rFonts w:ascii="Arial" w:cs="Arial" w:eastAsia="Arial" w:hAnsi="Arial"/>
          <w:sz w:val="21"/>
          <w:szCs w:val="21"/>
        </w:rPr>
        <w:t xml:space="preserve">GRPs for TV/Radio, impressions for digital channels. Rebuild NB05 with exposure metrics when available.</w:t>
      </w:r>
    </w:p>
    <w:p>
      <w:pPr>
        <w:pStyle w:val="ListParagraph"/>
        <w:numPr>
          <w:ilvl w:val="0"/>
          <w:numId w:val="5"/>
        </w:numPr>
        <w:spacing w:after="80"/>
      </w:pPr>
      <w:r>
        <w:rPr>
          <w:rFonts w:ascii="Arial" w:cs="Arial" w:eastAsia="Arial" w:hAnsi="Arial"/>
          <w:b/>
          <w:bCs/>
          <w:sz w:val="21"/>
          <w:szCs w:val="21"/>
        </w:rPr>
        <w:t xml:space="preserve">Run PyMC-Marketing as sensitivity check. </w:t>
      </w:r>
      <w:r>
        <w:rPr>
          <w:rFonts w:ascii="Arial" w:cs="Arial" w:eastAsia="Arial" w:hAnsi="Arial"/>
          <w:sz w:val="21"/>
          <w:szCs w:val="21"/>
        </w:rPr>
        <w:t xml:space="preserve">Bayesian approach with informative priors from Ridge estimates. Compare posteriors to bootstrap CIs.</w:t>
      </w:r>
    </w:p>
    <w:p>
      <w:pPr>
        <w:pStyle w:val="ListParagraph"/>
        <w:numPr>
          <w:ilvl w:val="0"/>
          <w:numId w:val="5"/>
        </w:numPr>
        <w:spacing w:after="80"/>
      </w:pPr>
      <w:r>
        <w:rPr>
          <w:rFonts w:ascii="Arial" w:cs="Arial" w:eastAsia="Arial" w:hAnsi="Arial"/>
          <w:b/>
          <w:bCs/>
          <w:sz w:val="21"/>
          <w:szCs w:val="21"/>
        </w:rPr>
        <w:t xml:space="preserve">Evaluate geo-level heterogeneity. </w:t>
      </w:r>
      <w:r>
        <w:rPr>
          <w:rFonts w:ascii="Arial" w:cs="Arial" w:eastAsia="Arial" w:hAnsi="Arial"/>
          <w:sz w:val="21"/>
          <w:szCs w:val="21"/>
        </w:rPr>
        <w:t xml:space="preserve">Fit separate models for Montreal metro vs. rest of Quebec. If ROAS differs, plan hierarchical model.</w:t>
      </w:r>
    </w:p>
    <w:p>
      <w:r>
        <w:br w:type="page"/>
      </w:r>
    </w:p>
    <w:p>
      <w:pPr>
        <w:pStyle w:val="Heading1"/>
        <w:spacing w:after="200" w:before="360"/>
      </w:pPr>
      <w:r>
        <w:rPr>
          <w:rFonts w:ascii="Arial" w:cs="Arial" w:eastAsia="Arial" w:hAnsi="Arial"/>
          <w:b/>
          <w:bCs/>
          <w:color w:val="1B3A5C"/>
          <w:sz w:val="32"/>
          <w:szCs w:val="32"/>
        </w:rPr>
        <w:t xml:space="preserve">10.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960"/>
        <w:gridCol w:w="24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Timeline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Actions</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Expected Impact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Phase 1: Quick Wins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Weeks 1–2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Weekly data migration, VIF analysis, TV decay sensitivity, revised claims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R² improvement, honest uncertainty ranges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Phase 2: Feature Fixes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Weeks 3–4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Weather deviations, interaction terms, business calendar, 2nd harmonic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Better media signal, reduced confounding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Phase 3: Validation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Months 2–3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Geo-lift design, Bayesian sensitivity, impression data request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Ground-truth ROAS, uncertainty quantification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Phase 4: Architecture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Months 4–6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Hierarchical geo-model, time-varying parameters, Weibull adstock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Store-level insights, temporal dynamics</w:t>
            </w:r>
          </w:p>
        </w:tc>
      </w:tr>
    </w:tbl>
    <w:p>
      <w:pPr>
        <w:spacing w:after="120"/>
        <w:jc w:val="left"/>
      </w:pPr>
      <w:r>
        <w:rPr>
          <w:rFonts w:ascii="Arial" w:cs="Arial" w:eastAsia="Arial" w:hAnsi="Arial"/>
          <w:color w:val="333333"/>
          <w:sz w:val="21"/>
          <w:szCs w:val="21"/>
        </w:rPr>
        <w:t xml:space="preserve"/>
      </w:r>
    </w:p>
    <w:p>
      <w:pPr>
        <w:pStyle w:val="Heading1"/>
        <w:spacing w:after="200" w:before="360"/>
      </w:pPr>
      <w:r>
        <w:rPr>
          <w:rFonts w:ascii="Arial" w:cs="Arial" w:eastAsia="Arial" w:hAnsi="Arial"/>
          <w:b/>
          <w:bCs/>
          <w:color w:val="1B3A5C"/>
          <w:sz w:val="32"/>
          <w:szCs w:val="32"/>
        </w:rPr>
        <w:t xml:space="preserve">11. Final Verdict</w:t>
      </w:r>
    </w:p>
    <w:p>
      <w:pPr>
        <w:spacing w:after="120"/>
        <w:jc w:val="left"/>
      </w:pPr>
      <w:r>
        <w:rPr>
          <w:rFonts w:ascii="Arial" w:cs="Arial" w:eastAsia="Arial" w:hAnsi="Arial"/>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AF8" w:val="clear"/>
            <w:tcMar>
              <w:top w:type="dxa" w:w="200"/>
              <w:left w:type="dxa" w:w="300"/>
              <w:bottom w:type="dxa" w:w="200"/>
              <w:right w:type="dxa" w:w="300"/>
            </w:tcMar>
          </w:tcPr>
          <w:p>
            <w:pPr>
              <w:spacing w:after="120"/>
            </w:pPr>
            <w:r>
              <w:rPr>
                <w:rFonts w:ascii="Arial" w:cs="Arial" w:eastAsia="Arial" w:hAnsi="Arial"/>
                <w:b/>
                <w:bCs/>
                <w:color w:val="1B3A5C"/>
                <w:sz w:val="28"/>
                <w:szCs w:val="28"/>
              </w:rPr>
              <w:t xml:space="preserve">Overall Project Grade: B</w:t>
            </w:r>
          </w:p>
          <w:p>
            <w:pPr>
              <w:spacing w:after="120"/>
            </w:pPr>
            <w:r>
              <w:rPr>
                <w:rFonts w:ascii="Arial" w:cs="Arial" w:eastAsia="Arial" w:hAnsi="Arial"/>
                <w:color w:val="333333"/>
                <w:sz w:val="21"/>
                <w:szCs w:val="21"/>
              </w:rPr>
              <w:t xml:space="preserve">The Club Piscine MMM project is a well-executed prototype that uses industry-standard methodology (Ridge + NNLS, geometric adstock, Hill saturation) aligned with Meta Robyn’s core engine. The documentation is exceptional, and the pipeline from raw data to optimization is complete and reproducible.</w:t>
            </w:r>
          </w:p>
          <w:p>
            <w:pPr>
              <w:spacing w:after="120"/>
            </w:pPr>
            <w:r>
              <w:rPr>
                <w:rFonts w:ascii="Arial" w:cs="Arial" w:eastAsia="Arial" w:hAnsi="Arial"/>
                <w:color w:val="333333"/>
                <w:sz w:val="21"/>
                <w:szCs w:val="21"/>
              </w:rPr>
              <w:t xml:space="preserve">However, it operates under severe constraints that limit its production readiness: critically small sample (N=36 vs. 156 available weekly), weak media signal (R²=0.15), masking of negative coefficients via NNLS, TV decay rate 36x below literature benchmarks, and no experimental calibration.</w:t>
            </w:r>
          </w:p>
          <w:p>
            <w:pPr>
              <w:spacing w:after="0"/>
            </w:pPr>
            <w:r>
              <w:rPr>
                <w:rFonts w:ascii="Arial" w:cs="Arial" w:eastAsia="Arial" w:hAnsi="Arial"/>
                <w:b/>
                <w:bCs/>
                <w:color w:val="1B3A5C"/>
                <w:sz w:val="21"/>
                <w:szCs w:val="21"/>
              </w:rPr>
              <w:t xml:space="preserve">Recommendation: Treat as an exploratory prototype. Implement weekly data migration (highest-impact change), add interaction terms, fix weather features, and revise optimization claims from +21.4% to a realistic +5–15% range before client presentation.</w:t>
            </w:r>
          </w:p>
        </w:tc>
      </w:tr>
    </w:tbl>
    <w:p>
      <w:pPr>
        <w:spacing w:after="120"/>
        <w:jc w:val="left"/>
      </w:pPr>
      <w:r>
        <w:rPr>
          <w:rFonts w:ascii="Arial" w:cs="Arial" w:eastAsia="Arial" w:hAnsi="Arial"/>
          <w:color w:val="333333"/>
          <w:sz w:val="21"/>
          <w:szCs w:val="21"/>
        </w:rPr>
        <w:t xml:space="preserve"/>
      </w:r>
    </w:p>
    <w:p>
      <w:pPr>
        <w:spacing w:after="120"/>
        <w:jc w:val="left"/>
      </w:pPr>
      <w:r>
        <w:rPr>
          <w:rFonts w:ascii="Arial" w:cs="Arial" w:eastAsia="Arial" w:hAnsi="Arial"/>
          <w:color w:val="333333"/>
          <w:sz w:val="21"/>
          <w:szCs w:val="21"/>
        </w:rPr>
        <w:t xml:space="preserve"/>
      </w:r>
    </w:p>
    <w:p>
      <w:pPr>
        <w:pStyle w:val="Heading2"/>
        <w:spacing w:after="160" w:before="280"/>
      </w:pPr>
      <w:r>
        <w:rPr>
          <w:rFonts w:ascii="Arial" w:cs="Arial" w:eastAsia="Arial" w:hAnsi="Arial"/>
          <w:b/>
          <w:bCs/>
          <w:color w:val="2E75B6"/>
          <w:sz w:val="26"/>
          <w:szCs w:val="26"/>
        </w:rPr>
        <w:t xml:space="preserve">11.1 Notebook-Level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800"/>
        <w:gridCol w:w="51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Notebook</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Purpose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Grade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 Issue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NB00–NB02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Data Pipeline</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Solid; fix config format, preserve weekly data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EDA</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Good visuals; add VIF, lag analysis, outlier detection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External Data</w:t>
            </w:r>
          </w:p>
        </w:tc>
        <w:tc>
          <w:tcPr>
            <w:tcW w:type="dxa" w:w="8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Weather feature design flawed (use deviations)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Feature Engineering</w:t>
            </w:r>
          </w:p>
        </w:tc>
        <w:tc>
          <w:tcPr>
            <w:tcW w:type="dxa" w:w="8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TV decay implausible; no interactions; Fourier insufficient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NB06C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Primary Model</w:t>
            </w:r>
          </w:p>
        </w:tc>
        <w:tc>
          <w:tcPr>
            <w:tcW w:type="dxa" w:w="8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Sound method; undersized sample, weak signal, NNLS masking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NB06D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Impressions Model</w:t>
            </w:r>
          </w:p>
        </w:tc>
        <w:tc>
          <w:tcPr>
            <w:tcW w:type="dxa" w:w="8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Good validation study; correctly deferred to 06C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Optimization</w:t>
            </w:r>
          </w:p>
        </w:tc>
        <w:tc>
          <w:tcPr>
            <w:tcW w:type="dxa" w:w="8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Proper constraints; claims overstated 2–3x</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NB08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Bayesian MMM</w:t>
            </w:r>
          </w:p>
        </w:tc>
        <w:tc>
          <w:tcPr>
            <w:tcW w:type="dxa" w:w="8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Valuable supplement; should be used for sensitivity</w:t>
            </w:r>
          </w:p>
        </w:tc>
      </w:tr>
    </w:tbl>
    <w:p>
      <w:pPr>
        <w:spacing w:after="120"/>
        <w:jc w:val="left"/>
      </w:pPr>
      <w:r>
        <w:rPr>
          <w:rFonts w:ascii="Arial" w:cs="Arial" w:eastAsia="Arial" w:hAnsi="Arial"/>
          <w:color w:val="333333"/>
          <w:sz w:val="21"/>
          <w:szCs w:val="21"/>
        </w:rPr>
        <w:t xml:space="preserve"/>
      </w:r>
    </w:p>
    <w:p>
      <w:pPr>
        <w:spacing w:after="120"/>
        <w:jc w:val="left"/>
      </w:pPr>
      <w:r>
        <w:rPr>
          <w:rFonts w:ascii="Arial" w:cs="Arial" w:eastAsia="Arial" w:hAnsi="Arial"/>
          <w:color w:val="333333"/>
          <w:sz w:val="21"/>
          <w:szCs w:val="21"/>
        </w:rPr>
        <w:t xml:space="preserve"/>
      </w:r>
    </w:p>
    <w:p>
      <w:pPr>
        <w:spacing w:after="120"/>
        <w:jc w:val="left"/>
      </w:pPr>
      <w:r>
        <w:rPr>
          <w:rFonts w:ascii="Arial" w:cs="Arial" w:eastAsia="Arial" w:hAnsi="Arial"/>
          <w:color w:val="333333"/>
          <w:sz w:val="21"/>
          <w:szCs w:val="21"/>
        </w:rPr>
        <w:t xml:space="preserve"/>
      </w:r>
    </w:p>
    <w:p>
      <w:pPr>
        <w:pBdr>
          <w:top w:val="single" w:color="2E75B6" w:sz="1" w:space="1"/>
        </w:pBdr>
        <w:spacing w:before="400"/>
        <w:jc w:val="center"/>
      </w:pPr>
    </w:p>
    <w:p>
      <w:pPr>
        <w:spacing w:before="200"/>
        <w:jc w:val="center"/>
      </w:pPr>
      <w:r>
        <w:rPr>
          <w:rFonts w:ascii="Arial" w:cs="Arial" w:eastAsia="Arial" w:hAnsi="Arial"/>
          <w:i/>
          <w:iCs/>
          <w:color w:val="7F8C8D"/>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1"/>
      </w:pBdr>
    </w:pPr>
    <w:r>
      <w:rPr>
        <w:rFonts w:ascii="Arial" w:cs="Arial" w:eastAsia="Arial" w:hAnsi="Arial"/>
        <w:i/>
        <w:iCs/>
        <w:color w:val="7F8C8D"/>
        <w:sz w:val="16"/>
        <w:szCs w:val="16"/>
      </w:rPr>
      <w:t xml:space="preserve">Club Piscine MMM — Pipeline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2026-03-06T21:53:24.687Z</dcterms:created>
  <dcterms:modified xsi:type="dcterms:W3CDTF">2026-03-06T21:53:24.693Z</dcterms:modified>
</cp:coreProperties>
</file>

<file path=docProps/custom.xml><?xml version="1.0" encoding="utf-8"?>
<Properties xmlns="http://schemas.openxmlformats.org/officeDocument/2006/custom-properties" xmlns:vt="http://schemas.openxmlformats.org/officeDocument/2006/docPropsVTypes"/>
</file>