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Club Piscine</w:t>
      </w:r>
    </w:p>
    <w:p>
      <w:pPr>
        <w:spacing w:after="200"/>
        <w:jc w:val="center"/>
      </w:pPr>
      <w:r>
        <w:rPr>
          <w:rFonts w:ascii="Arial" w:cs="Arial" w:eastAsia="Arial" w:hAnsi="Arial"/>
          <w:color w:val="1F4E79"/>
          <w:sz w:val="44"/>
          <w:szCs w:val="44"/>
        </w:rPr>
        <w:t xml:space="preserve">Marketing Mix Model</w:t>
      </w:r>
    </w:p>
    <w:p>
      <w:pPr>
        <w:spacing w:after="100"/>
        <w:jc w:val="center"/>
      </w:pPr>
      <w:r>
        <w:rPr>
          <w:rFonts w:ascii="Arial" w:cs="Arial" w:eastAsia="Arial" w:hAnsi="Arial"/>
          <w:color w:val="333333"/>
          <w:sz w:val="32"/>
          <w:szCs w:val="32"/>
        </w:rPr>
        <w:t xml:space="preserve">Methodology Document</w:t>
      </w:r>
    </w:p>
    <w:p>
      <w:pPr>
        <w:spacing w:after="600"/>
        <w:jc w:val="center"/>
      </w:pPr>
      <w:r>
        <w:rPr>
          <w:rFonts w:ascii="Arial" w:cs="Arial" w:eastAsia="Arial" w:hAnsi="Arial"/>
          <w:color w:val="666666"/>
          <w:sz w:val="28"/>
          <w:szCs w:val="28"/>
        </w:rPr>
        <w:t xml:space="preserve">Proof of Concept</w:t>
      </w:r>
    </w:p>
    <w:p>
      <w:pPr>
        <w:pBdr>
          <w:top w:val="single" w:color="1F4E79" w:sz="2" w:space="10"/>
        </w:pBdr>
        <w:spacing w:after="0"/>
        <w:jc w:val="center"/>
      </w:pPr>
    </w:p>
    <w:p>
      <w:pPr>
        <w:spacing w:after="100" w:before="200"/>
        <w:jc w:val="center"/>
      </w:pPr>
      <w:r>
        <w:rPr>
          <w:rFonts w:ascii="Arial" w:cs="Arial" w:eastAsia="Arial" w:hAnsi="Arial"/>
          <w:color w:val="333333"/>
          <w:sz w:val="24"/>
          <w:szCs w:val="24"/>
        </w:rPr>
        <w:t xml:space="preserve">Compass Data</w:t>
      </w:r>
    </w:p>
    <w:p>
      <w:pPr>
        <w:spacing w:after="100"/>
        <w:jc w:val="center"/>
      </w:pPr>
      <w:r>
        <w:rPr>
          <w:rFonts w:ascii="Arial" w:cs="Arial" w:eastAsia="Arial" w:hAnsi="Arial"/>
          <w:color w:val="666666"/>
          <w:sz w:val="22"/>
          <w:szCs w:val="22"/>
        </w:rPr>
        <w:t xml:space="preserve">March 2026</w:t>
      </w:r>
    </w:p>
    <w:p>
      <w:pPr>
        <w:spacing w:after="100"/>
        <w:jc w:val="center"/>
      </w:pPr>
      <w:r>
        <w:rPr>
          <w:rFonts w:ascii="Arial" w:cs="Arial" w:eastAsia="Arial" w:hAnsi="Arial"/>
          <w:color w:val="666666"/>
          <w:sz w:val="22"/>
          <w:szCs w:val="22"/>
        </w:rPr>
        <w:t xml:space="preserve">Use Case 1: Media Investment Optimization</w:t>
      </w:r>
    </w:p>
    <w:p>
      <w:r>
        <w:br w:type="page"/>
      </w:r>
    </w:p>
    <w:p>
      <w:pPr>
        <w:pStyle w:val="Heading1"/>
        <w:spacing w:after="200" w:before="360"/>
      </w:pPr>
      <w:r>
        <w:rPr>
          <w:rFonts w:ascii="Arial" w:cs="Arial" w:eastAsia="Arial" w:hAnsi="Arial"/>
          <w:b/>
          <w:bCs/>
          <w:color w:val="1F4E79"/>
          <w:sz w:val="28"/>
          <w:szCs w:val="28"/>
        </w:rPr>
        <w:t xml:space="preserve">1. Introduction</w:t>
      </w:r>
    </w:p>
    <w:p>
      <w:pPr>
        <w:spacing w:after="160" w:line="276"/>
        <w:jc w:val="both"/>
      </w:pPr>
      <w:r>
        <w:rPr>
          <w:rFonts w:ascii="Arial" w:cs="Arial" w:eastAsia="Arial" w:hAnsi="Arial"/>
          <w:color w:val="333333"/>
          <w:sz w:val="21"/>
          <w:szCs w:val="21"/>
        </w:rPr>
        <w:t xml:space="preserve">A Marketing Mix Model (MMM) is a statistical framework that quantifies the relationship between marketing investments and business outcomes. It isolates the contribution of each media channel to revenue by controlling for external factors such as seasonality, weather, and baseline demand. MMM has been used for decades in consumer packaged goods, retail, and increasingly in specialized industries to guide media budget allocation decisions.</w:t>
      </w:r>
    </w:p>
    <w:p>
      <w:pPr>
        <w:spacing w:after="160" w:line="276"/>
        <w:jc w:val="both"/>
      </w:pPr>
      <w:r>
        <w:rPr>
          <w:rFonts w:ascii="Arial" w:cs="Arial" w:eastAsia="Arial" w:hAnsi="Arial"/>
          <w:color w:val="333333"/>
          <w:sz w:val="21"/>
          <w:szCs w:val="21"/>
        </w:rPr>
        <w:t xml:space="preserve">This document describes the methodology behind Club Piscine’s Marketing Mix Model, developed as a proof of concept (POC) to measure the effectiveness of media investments across seven consolidated media channels. The model analyzes three fiscal years of data (FY2023 through FY2025), covering $512.4M in total revenue and $10.3M in total media spend across 42 stores in Quebec.</w:t>
      </w:r>
    </w:p>
    <w:p>
      <w:pPr>
        <w:spacing w:after="160" w:line="276"/>
        <w:jc w:val="both"/>
      </w:pPr>
      <w:r>
        <w:rPr>
          <w:rFonts w:ascii="Arial" w:cs="Arial" w:eastAsia="Arial" w:hAnsi="Arial"/>
          <w:color w:val="333333"/>
          <w:sz w:val="21"/>
          <w:szCs w:val="21"/>
        </w:rPr>
        <w:t xml:space="preserve">The approach follows established industry practices used by leading open-source MMM frameworks, including Google’s Meridian and Meta’s Robyn. Where this POC differs from a production implementation, we note the distinction and highlight opportunities for refinement with additional data or resources.</w:t>
      </w:r>
    </w:p>
    <w:p>
      <w:pPr>
        <w:spacing w:after="160" w:line="276"/>
        <w:jc w:val="both"/>
      </w:pPr>
      <w:r>
        <w:rPr>
          <w:rFonts w:ascii="Arial" w:cs="Arial" w:eastAsia="Arial" w:hAnsi="Arial"/>
          <w:color w:val="333333"/>
          <w:sz w:val="21"/>
          <w:szCs w:val="21"/>
        </w:rPr>
        <w:t xml:space="preserve">This document serves two purposes. First, it is a discussion guide designed to walk through the model together, identifying areas where client expertise and business context can improve the results. Second, it provides technical documentation sufficient for a future team to understand, replicate, and extend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6"/>
              <w:bottom w:val="single" w:color="1F4E79" w:sz="2"/>
              <w:right w:val="single" w:color="1F4E79" w:sz="2"/>
            </w:tcBorders>
            <w:shd w:fill="EBF5FB" w:val="clear"/>
            <w:tcMar>
              <w:top w:type="dxa" w:w="100"/>
              <w:left w:type="dxa" w:w="160"/>
              <w:bottom w:type="dxa" w:w="100"/>
              <w:right w:type="dxa" w:w="160"/>
            </w:tcMar>
          </w:tcPr>
          <w:p>
            <w:pPr>
              <w:spacing w:after="80"/>
            </w:pPr>
            <w:r>
              <w:rPr>
                <w:rFonts w:ascii="Arial" w:cs="Arial" w:eastAsia="Arial" w:hAnsi="Arial"/>
                <w:b/>
                <w:bCs/>
                <w:color w:val="1F4E79"/>
                <w:sz w:val="20"/>
                <w:szCs w:val="20"/>
              </w:rPr>
              <w:t xml:space="preserve">Areas for Discussion</w:t>
            </w:r>
          </w:p>
          <w:p>
            <w:pPr>
              <w:spacing w:after="0"/>
            </w:pPr>
            <w:r>
              <w:rPr>
                <w:rFonts w:ascii="Arial" w:cs="Arial" w:eastAsia="Arial" w:hAnsi="Arial"/>
                <w:color w:val="333333"/>
                <w:sz w:val="20"/>
                <w:szCs w:val="20"/>
              </w:rPr>
              <w:t xml:space="preserve">Throughout this document, shaded boxes like this one highlight areas where client input can directly improve model accuracy. Your knowledge of campaign timing, creative strategy, and market conditions is essential context that no statistical model can infer on its own.</w:t>
            </w:r>
          </w:p>
        </w:tc>
      </w:tr>
    </w:tbl>
    <w:p>
      <w:pPr>
        <w:spacing w:after="80"/>
      </w:pPr>
    </w:p>
    <w:p>
      <w:pPr>
        <w:pStyle w:val="Heading1"/>
        <w:spacing w:after="200" w:before="360"/>
      </w:pPr>
      <w:r>
        <w:rPr>
          <w:rFonts w:ascii="Arial" w:cs="Arial" w:eastAsia="Arial" w:hAnsi="Arial"/>
          <w:b/>
          <w:bCs/>
          <w:color w:val="1F4E79"/>
          <w:sz w:val="28"/>
          <w:szCs w:val="28"/>
        </w:rPr>
        <w:t xml:space="preserve">2. Data Foundation</w:t>
      </w:r>
    </w:p>
    <w:p>
      <w:pPr>
        <w:spacing w:after="160" w:line="276"/>
        <w:jc w:val="both"/>
      </w:pPr>
      <w:r>
        <w:rPr>
          <w:rFonts w:ascii="Arial" w:cs="Arial" w:eastAsia="Arial" w:hAnsi="Arial"/>
          <w:color w:val="333333"/>
          <w:sz w:val="21"/>
          <w:szCs w:val="21"/>
        </w:rPr>
        <w:t xml:space="preserve">The model integrates three primary data sources, each aligned to Club Piscine’s fiscal calendar (November 1 through October 31). All data is aggregated to monthly granularity, yielding 36 observations across the three fiscal years.</w:t>
      </w:r>
    </w:p>
    <w:p>
      <w:pPr>
        <w:pStyle w:val="Heading2"/>
        <w:spacing w:after="160" w:before="280"/>
      </w:pPr>
      <w:r>
        <w:rPr>
          <w:rFonts w:ascii="Arial" w:cs="Arial" w:eastAsia="Arial" w:hAnsi="Arial"/>
          <w:b/>
          <w:bCs/>
          <w:color w:val="1F4E79"/>
          <w:sz w:val="24"/>
          <w:szCs w:val="24"/>
        </w:rPr>
        <w:t xml:space="preserve">2.1 Sales Data</w:t>
      </w:r>
    </w:p>
    <w:p>
      <w:pPr>
        <w:spacing w:after="160" w:line="276"/>
        <w:jc w:val="both"/>
      </w:pPr>
      <w:r>
        <w:rPr>
          <w:rFonts w:ascii="Arial" w:cs="Arial" w:eastAsia="Arial" w:hAnsi="Arial"/>
          <w:color w:val="333333"/>
          <w:sz w:val="21"/>
          <w:szCs w:val="21"/>
        </w:rPr>
        <w:t xml:space="preserve">Weekly sales data from 42 stores was aggregated to monthly totals across six product categories: Above-Ground Pools (HT), In-Ground Pools (CR), Spas (SP), Furniture and Gazebos (ME&amp;GA), Fitness (FI), and Barbecues (BQ). All six categories are treated equally in the model. The primary target variable is total aggregate revenue across all categories.</w:t>
      </w:r>
    </w:p>
    <w:p>
      <w:pPr>
        <w:pStyle w:val="Heading2"/>
        <w:spacing w:after="160" w:before="280"/>
      </w:pPr>
      <w:r>
        <w:rPr>
          <w:rFonts w:ascii="Arial" w:cs="Arial" w:eastAsia="Arial" w:hAnsi="Arial"/>
          <w:b/>
          <w:bCs/>
          <w:color w:val="1F4E79"/>
          <w:sz w:val="24"/>
          <w:szCs w:val="24"/>
        </w:rPr>
        <w:t xml:space="preserve">2.2 Media Spend Data</w:t>
      </w:r>
    </w:p>
    <w:p>
      <w:pPr>
        <w:spacing w:after="160" w:line="276"/>
        <w:jc w:val="both"/>
      </w:pPr>
      <w:r>
        <w:rPr>
          <w:rFonts w:ascii="Arial" w:cs="Arial" w:eastAsia="Arial" w:hAnsi="Arial"/>
          <w:color w:val="333333"/>
          <w:sz w:val="21"/>
          <w:szCs w:val="21"/>
        </w:rPr>
        <w:t xml:space="preserve">Media investment data was consolidated from annual budget files into seven channel groups. This consolidation was necessary because the raw data contained over 20 line items with overlapping sub-categories. The seven consolidated channels represent the actionable levers available to the media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Channel</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Includes</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3-Year Total Spend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Television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TV spots (brand, seasonal)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$3.95M</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Radio</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Radio + Radio Numerique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$2.17M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Panneaux</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Panneaux + DOOH / Digital Billboards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$292K</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Social Media</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Facebook, Instagram, Pinterest, TikTok</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$827K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Preroll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YouTube + Preroll premium video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$902K</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Banniere Web</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Premium Display, Google Ads, LaPresse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$828K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Circulaire Digitale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Digital flyers (Flipp, Reebee)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$447K</w:t>
            </w:r>
          </w:p>
        </w:tc>
      </w:tr>
    </w:tbl>
    <w:p>
      <w:pPr>
        <w:spacing w:after="120"/>
      </w:pPr>
    </w:p>
    <w:p>
      <w:pPr>
        <w:spacing w:after="160" w:line="276"/>
        <w:jc w:val="both"/>
      </w:pPr>
      <w:r>
        <w:rPr>
          <w:rFonts w:ascii="Arial" w:cs="Arial" w:eastAsia="Arial" w:hAnsi="Arial"/>
          <w:color w:val="333333"/>
          <w:sz w:val="21"/>
          <w:szCs w:val="21"/>
        </w:rPr>
        <w:t xml:space="preserve">Channels excluded from the model include Google Shopping, Programmatique, Audio et Podcast, and Envois Postaux, either due to insufficient variation in spend or because they represent performance marketing that captures existing demand rather than generating incremental sales.</w:t>
      </w:r>
    </w:p>
    <w:p>
      <w:pPr>
        <w:pStyle w:val="Heading2"/>
        <w:spacing w:after="160" w:before="280"/>
      </w:pPr>
      <w:r>
        <w:rPr>
          <w:rFonts w:ascii="Arial" w:cs="Arial" w:eastAsia="Arial" w:hAnsi="Arial"/>
          <w:b/>
          <w:bCs/>
          <w:color w:val="1F4E79"/>
          <w:sz w:val="24"/>
          <w:szCs w:val="24"/>
        </w:rPr>
        <w:t xml:space="preserve">2.3 External Data</w:t>
      </w:r>
    </w:p>
    <w:p>
      <w:pPr>
        <w:spacing w:after="160" w:line="276"/>
        <w:jc w:val="both"/>
      </w:pPr>
      <w:r>
        <w:rPr>
          <w:rFonts w:ascii="Arial" w:cs="Arial" w:eastAsia="Arial" w:hAnsi="Arial"/>
          <w:color w:val="333333"/>
          <w:sz w:val="21"/>
          <w:szCs w:val="21"/>
        </w:rPr>
        <w:t xml:space="preserve">Weather data was sourced from Environment Canada and includes monthly sunshine hours, total precipitation, and days above 25°C. Given Club Piscine’s product categories (pools, spas, outdoor furniture), weather is a meaningful driver of consumer demand. Weather variables are expressed as deviations from their monthly long-term averages, which isolates unusual weather effects from the predictable seasonal pattern already captured by the model’s seasonal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6"/>
              <w:bottom w:val="single" w:color="1F4E79" w:sz="2"/>
              <w:right w:val="single" w:color="1F4E79" w:sz="2"/>
            </w:tcBorders>
            <w:shd w:fill="EBF5FB" w:val="clear"/>
            <w:tcMar>
              <w:top w:type="dxa" w:w="100"/>
              <w:left w:type="dxa" w:w="160"/>
              <w:bottom w:type="dxa" w:w="100"/>
              <w:right w:type="dxa" w:w="160"/>
            </w:tcMar>
          </w:tcPr>
          <w:p>
            <w:pPr>
              <w:spacing w:after="80"/>
            </w:pPr>
            <w:r>
              <w:rPr>
                <w:rFonts w:ascii="Arial" w:cs="Arial" w:eastAsia="Arial" w:hAnsi="Arial"/>
                <w:b/>
                <w:bCs/>
                <w:color w:val="1F4E79"/>
                <w:sz w:val="20"/>
                <w:szCs w:val="20"/>
              </w:rPr>
              <w:t xml:space="preserve">Data Enrichment Opportunities</w:t>
            </w:r>
          </w:p>
          <w:p>
            <w:pPr>
              <w:spacing w:after="0"/>
            </w:pPr>
            <w:r>
              <w:rPr>
                <w:rFonts w:ascii="Arial" w:cs="Arial" w:eastAsia="Arial" w:hAnsi="Arial"/>
                <w:color w:val="333333"/>
                <w:sz w:val="20"/>
                <w:szCs w:val="20"/>
              </w:rPr>
              <w:t xml:space="preserve">The model could benefit from additional data sources in a production implementation: store-level promotional calendars, competitive activity tracking, and macroeconomic indicators such as consumer confidence or housing starts. Are there internal data sources that track promotional events or competitor campaigns?</w:t>
            </w:r>
          </w:p>
        </w:tc>
      </w:tr>
    </w:tbl>
    <w:p>
      <w:pPr>
        <w:spacing w:after="80"/>
      </w:pPr>
    </w:p>
    <w:p>
      <w:pPr>
        <w:pStyle w:val="Heading1"/>
        <w:spacing w:after="200" w:before="360"/>
      </w:pPr>
      <w:r>
        <w:rPr>
          <w:rFonts w:ascii="Arial" w:cs="Arial" w:eastAsia="Arial" w:hAnsi="Arial"/>
          <w:b/>
          <w:bCs/>
          <w:color w:val="1F4E79"/>
          <w:sz w:val="28"/>
          <w:szCs w:val="28"/>
        </w:rPr>
        <w:t xml:space="preserve">3. Exploratory Analysis</w:t>
      </w:r>
    </w:p>
    <w:p>
      <w:pPr>
        <w:spacing w:after="160" w:line="276"/>
        <w:jc w:val="both"/>
      </w:pPr>
      <w:r>
        <w:rPr>
          <w:rFonts w:ascii="Arial" w:cs="Arial" w:eastAsia="Arial" w:hAnsi="Arial"/>
          <w:color w:val="333333"/>
          <w:sz w:val="21"/>
          <w:szCs w:val="21"/>
        </w:rPr>
        <w:t xml:space="preserve">Before building the model, an extensive exploratory analysis was conducted to understand the structure of the data and identify patterns that the model would need to account for. Three findings shaped the modeling approach.</w:t>
      </w:r>
    </w:p>
    <w:p>
      <w:pPr>
        <w:pStyle w:val="Heading2"/>
        <w:spacing w:after="160" w:before="280"/>
      </w:pPr>
      <w:r>
        <w:rPr>
          <w:rFonts w:ascii="Arial" w:cs="Arial" w:eastAsia="Arial" w:hAnsi="Arial"/>
          <w:b/>
          <w:bCs/>
          <w:color w:val="1F4E79"/>
          <w:sz w:val="24"/>
          <w:szCs w:val="24"/>
        </w:rPr>
        <w:t xml:space="preserve">3.1 Seasonality</w:t>
      </w:r>
    </w:p>
    <w:p>
      <w:pPr>
        <w:spacing w:after="160" w:line="276"/>
        <w:jc w:val="both"/>
      </w:pPr>
      <w:r>
        <w:rPr>
          <w:rFonts w:ascii="Arial" w:cs="Arial" w:eastAsia="Arial" w:hAnsi="Arial"/>
          <w:color w:val="333333"/>
          <w:sz w:val="21"/>
          <w:szCs w:val="21"/>
        </w:rPr>
        <w:t xml:space="preserve">Club Piscine’s revenue follows a pronounced seasonal pattern, with peak sales between April and August. This seasonality is consistent across all three fiscal years and is driven by the outdoor nature of the core product categories. Approximately 85% of media spend is deployed between March and September, which means media investment and seasonal demand are naturally correlated. This is an important consideration: the model must carefully separate the effect of media from the underlying seasonal demand cycle.</w:t>
      </w:r>
    </w:p>
    <w:p>
      <w:pPr>
        <w:pStyle w:val="Heading2"/>
        <w:spacing w:after="160" w:before="280"/>
      </w:pPr>
      <w:r>
        <w:rPr>
          <w:rFonts w:ascii="Arial" w:cs="Arial" w:eastAsia="Arial" w:hAnsi="Arial"/>
          <w:b/>
          <w:bCs/>
          <w:color w:val="1F4E79"/>
          <w:sz w:val="24"/>
          <w:szCs w:val="24"/>
        </w:rPr>
        <w:t xml:space="preserve">3.2 Channel Spending Patterns</w:t>
      </w:r>
    </w:p>
    <w:p>
      <w:pPr>
        <w:spacing w:after="160" w:line="276"/>
        <w:jc w:val="both"/>
      </w:pPr>
      <w:r>
        <w:rPr>
          <w:rFonts w:ascii="Arial" w:cs="Arial" w:eastAsia="Arial" w:hAnsi="Arial"/>
          <w:color w:val="333333"/>
          <w:sz w:val="21"/>
          <w:szCs w:val="21"/>
        </w:rPr>
        <w:t xml:space="preserve">Media channels exhibit distinct temporal profiles. Television dominates early season (March through May) for brand building, while radio takes over mid-season for tactical promotions. Digital channels (social media, preroll, web banners) maintain more consistent presence throughout the active season, and digital flyers increase toward mid-summer when promotional activity peaks. These staggered deployment patterns provide the variation needed for the model to distinguish individual channel effects.</w:t>
      </w:r>
    </w:p>
    <w:p>
      <w:pPr>
        <w:pStyle w:val="Heading2"/>
        <w:spacing w:after="160" w:before="280"/>
      </w:pPr>
      <w:r>
        <w:rPr>
          <w:rFonts w:ascii="Arial" w:cs="Arial" w:eastAsia="Arial" w:hAnsi="Arial"/>
          <w:b/>
          <w:bCs/>
          <w:color w:val="1F4E79"/>
          <w:sz w:val="24"/>
          <w:szCs w:val="24"/>
        </w:rPr>
        <w:t xml:space="preserve">3.3 Revenue and Spend Correlation</w:t>
      </w:r>
    </w:p>
    <w:p>
      <w:pPr>
        <w:spacing w:after="160" w:line="276"/>
        <w:jc w:val="both"/>
      </w:pPr>
      <w:r>
        <w:rPr>
          <w:rFonts w:ascii="Arial" w:cs="Arial" w:eastAsia="Arial" w:hAnsi="Arial"/>
          <w:color w:val="333333"/>
          <w:sz w:val="21"/>
          <w:szCs w:val="21"/>
        </w:rPr>
        <w:t xml:space="preserve">Preliminary correlation analysis confirmed that several media channels show meaningful positive association with revenue, though correlation alone cannot establish causation. The model’s two-stage approach (described in Section 5) is designed to address this by first removing predictable seasonal variation before estimating media effects.</w:t>
      </w:r>
    </w:p>
    <w:p>
      <w:pPr>
        <w:spacing w:after="80"/>
      </w:pPr>
    </w:p>
    <w:p>
      <w:pPr>
        <w:pStyle w:val="Heading1"/>
        <w:spacing w:after="200" w:before="360"/>
      </w:pPr>
      <w:r>
        <w:rPr>
          <w:rFonts w:ascii="Arial" w:cs="Arial" w:eastAsia="Arial" w:hAnsi="Arial"/>
          <w:b/>
          <w:bCs/>
          <w:color w:val="1F4E79"/>
          <w:sz w:val="28"/>
          <w:szCs w:val="28"/>
        </w:rPr>
        <w:t xml:space="preserve">4. Feature Engineering</w:t>
      </w:r>
    </w:p>
    <w:p>
      <w:pPr>
        <w:spacing w:after="160" w:line="276"/>
        <w:jc w:val="both"/>
      </w:pPr>
      <w:r>
        <w:rPr>
          <w:rFonts w:ascii="Arial" w:cs="Arial" w:eastAsia="Arial" w:hAnsi="Arial"/>
          <w:color w:val="333333"/>
          <w:sz w:val="21"/>
          <w:szCs w:val="21"/>
        </w:rPr>
        <w:t xml:space="preserve">Before media spend data enters the model, it undergoes two transformations that reflect how advertising works in practice. These transformations are standard in every major MMM framework, including Google Meridian and Meta Robyn, and are grounded in decades of advertising research.</w:t>
      </w:r>
    </w:p>
    <w:p>
      <w:pPr>
        <w:pStyle w:val="Heading2"/>
        <w:spacing w:after="160" w:before="280"/>
      </w:pPr>
      <w:r>
        <w:rPr>
          <w:rFonts w:ascii="Arial" w:cs="Arial" w:eastAsia="Arial" w:hAnsi="Arial"/>
          <w:b/>
          <w:bCs/>
          <w:color w:val="1F4E79"/>
          <w:sz w:val="24"/>
          <w:szCs w:val="24"/>
        </w:rPr>
        <w:t xml:space="preserve">4.1 Adstock (Carryover Effect)</w:t>
      </w:r>
    </w:p>
    <w:p>
      <w:pPr>
        <w:spacing w:after="160" w:line="276"/>
        <w:jc w:val="both"/>
      </w:pPr>
      <w:r>
        <w:rPr>
          <w:rFonts w:ascii="Arial" w:cs="Arial" w:eastAsia="Arial" w:hAnsi="Arial"/>
          <w:color w:val="333333"/>
          <w:sz w:val="21"/>
          <w:szCs w:val="21"/>
        </w:rPr>
        <w:t xml:space="preserve">When a consumer is exposed to an advertisement, the impact does not disappear immediately. A television campaign aired in March continues to influence purchase decisions into April and beyond, though with diminishing strength. This lingering effect is called </w:t>
      </w:r>
      <w:r>
        <w:rPr>
          <w:rFonts w:ascii="Arial" w:cs="Arial" w:eastAsia="Arial" w:hAnsi="Arial"/>
          <w:b/>
          <w:bCs/>
          <w:color w:val="333333"/>
          <w:sz w:val="21"/>
          <w:szCs w:val="21"/>
        </w:rPr>
        <w:t xml:space="preserve">adstock</w:t>
      </w:r>
      <w:r>
        <w:rPr>
          <w:rFonts w:ascii="Arial" w:cs="Arial" w:eastAsia="Arial" w:hAnsi="Arial"/>
          <w:color w:val="333333"/>
          <w:sz w:val="21"/>
          <w:szCs w:val="21"/>
        </w:rPr>
        <w:t xml:space="preserve">, and it is modeled using a geometric decay function.</w:t>
      </w:r>
    </w:p>
    <w:p>
      <w:pPr>
        <w:spacing w:after="160" w:line="276"/>
        <w:jc w:val="both"/>
      </w:pPr>
      <w:r>
        <w:rPr>
          <w:rFonts w:ascii="Arial" w:cs="Arial" w:eastAsia="Arial" w:hAnsi="Arial"/>
          <w:color w:val="333333"/>
          <w:sz w:val="21"/>
          <w:szCs w:val="21"/>
        </w:rPr>
        <w:t xml:space="preserve">The key parameter is the </w:t>
      </w:r>
      <w:r>
        <w:rPr>
          <w:rFonts w:ascii="Arial" w:cs="Arial" w:eastAsia="Arial" w:hAnsi="Arial"/>
          <w:b/>
          <w:bCs/>
          <w:color w:val="333333"/>
          <w:sz w:val="21"/>
          <w:szCs w:val="21"/>
        </w:rPr>
        <w:t xml:space="preserve">decay rate</w:t>
      </w:r>
      <w:r>
        <w:rPr>
          <w:rFonts w:ascii="Arial" w:cs="Arial" w:eastAsia="Arial" w:hAnsi="Arial"/>
          <w:color w:val="333333"/>
          <w:sz w:val="21"/>
          <w:szCs w:val="21"/>
        </w:rPr>
        <w:t xml:space="preserve"> (λ), which controls how quickly the effect fades. A higher decay rate means the advertising effect persists longer. For example, a decay rate of 0.7 means that after one period, 70% of the effect carries over; after two periods, 49% remains; after three, 34%.</w:t>
      </w:r>
    </w:p>
    <w:p>
      <w:pPr>
        <w:spacing w:after="160" w:line="276"/>
        <w:jc w:val="both"/>
      </w:pPr>
      <w:r>
        <w:rPr>
          <w:rFonts w:ascii="Arial" w:cs="Arial" w:eastAsia="Arial" w:hAnsi="Arial"/>
          <w:color w:val="333333"/>
          <w:sz w:val="21"/>
          <w:szCs w:val="21"/>
        </w:rPr>
        <w:t xml:space="preserve">The decay rates used in this model are based on </w:t>
      </w:r>
      <w:r>
        <w:rPr>
          <w:rFonts w:ascii="Arial" w:cs="Arial" w:eastAsia="Arial" w:hAnsi="Arial"/>
          <w:b/>
          <w:bCs/>
          <w:color w:val="333333"/>
          <w:sz w:val="21"/>
          <w:szCs w:val="21"/>
        </w:rPr>
        <w:t xml:space="preserve">industry benchmarks</w:t>
      </w:r>
      <w:r>
        <w:rPr>
          <w:rFonts w:ascii="Arial" w:cs="Arial" w:eastAsia="Arial" w:hAnsi="Arial"/>
          <w:color w:val="333333"/>
          <w:sz w:val="21"/>
          <w:szCs w:val="21"/>
        </w:rPr>
        <w:t xml:space="preserve"> published by leading MMM platforms and calibrated for monthly data. This is the standard approach when working with a limited number of observations, and it ensures the values reflect established knowledge about how different media types behave.</w:t>
      </w:r>
    </w:p>
    <w:p>
      <w:pPr>
        <w:spacing w:after="120" w:before="200"/>
      </w:pPr>
      <w:r>
        <w:rPr>
          <w:rFonts w:ascii="Arial" w:cs="Arial" w:eastAsia="Arial" w:hAnsi="Arial"/>
          <w:b/>
          <w:bCs/>
          <w:color w:val="333333"/>
          <w:sz w:val="22"/>
          <w:szCs w:val="22"/>
        </w:rPr>
        <w:t xml:space="preserve">Adstock Decay Rates by Channel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3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Channel</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Decay Rate (λ)</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Half-Life</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Interpretation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Television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0.21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0.4 months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Strong immediate impact, moderate carryover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Radio</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0.05</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0.2 months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Tactical, short-lived effect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Panneaux</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0.02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0.2 months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Ambient exposure, quick decay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Social Media</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0.02</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0.2 months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High frequency, rapid turnover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Preroll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0.05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0.2 months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Video engagement, short carryover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Banniere Web</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0.005</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0.1 months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Display, very short-lived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Circulaire Digitale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0.005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0.1 months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Promotional, immediate action</w:t>
            </w:r>
          </w:p>
        </w:tc>
      </w:tr>
    </w:tbl>
    <w:p>
      <w:pPr>
        <w:spacing w:after="120"/>
      </w:pPr>
    </w:p>
    <w:p>
      <w:pPr>
        <w:spacing w:after="160" w:line="276"/>
        <w:jc w:val="both"/>
      </w:pPr>
      <w:r>
        <w:rPr>
          <w:rFonts w:ascii="Arial" w:cs="Arial" w:eastAsia="Arial" w:hAnsi="Arial"/>
          <w:color w:val="333333"/>
          <w:sz w:val="21"/>
          <w:szCs w:val="21"/>
        </w:rPr>
        <w:t xml:space="preserve">These values are expressed on a monthly scale. Industry benchmarks are typically reported for weekly data and were converted to monthly equivalents using the standard formula (λ_monthly = λ_weekly raised to the power of 4.33). Television retains the highest carryover, which aligns with its role as a brand-building medium. Digital channels decay more rapidly, reflecting shorter content lifecycles and higher ad frequency.</w:t>
      </w:r>
    </w:p>
    <w:p>
      <w:pPr>
        <w:pStyle w:val="Heading2"/>
        <w:spacing w:after="160" w:before="280"/>
      </w:pPr>
      <w:r>
        <w:rPr>
          <w:rFonts w:ascii="Arial" w:cs="Arial" w:eastAsia="Arial" w:hAnsi="Arial"/>
          <w:b/>
          <w:bCs/>
          <w:color w:val="1F4E79"/>
          <w:sz w:val="24"/>
          <w:szCs w:val="24"/>
        </w:rPr>
        <w:t xml:space="preserve">4.2 Saturation (Diminishing Returns)</w:t>
      </w:r>
    </w:p>
    <w:p>
      <w:pPr>
        <w:spacing w:after="160" w:line="276"/>
        <w:jc w:val="both"/>
      </w:pPr>
      <w:r>
        <w:rPr>
          <w:rFonts w:ascii="Arial" w:cs="Arial" w:eastAsia="Arial" w:hAnsi="Arial"/>
          <w:color w:val="333333"/>
          <w:sz w:val="21"/>
          <w:szCs w:val="21"/>
        </w:rPr>
        <w:t xml:space="preserve">The second transformation captures a fundamental reality of advertising: the more you spend on a given channel, the less incremental return each additional dollar generates. The first $10,000 in social media spend likely reaches the most receptive audience, while the last $10,000 may be reaching less engaged users or generating repeat impressions.</w:t>
      </w:r>
    </w:p>
    <w:p>
      <w:pPr>
        <w:spacing w:after="160" w:line="276"/>
        <w:jc w:val="both"/>
      </w:pPr>
      <w:r>
        <w:rPr>
          <w:rFonts w:ascii="Arial" w:cs="Arial" w:eastAsia="Arial" w:hAnsi="Arial"/>
          <w:color w:val="333333"/>
          <w:sz w:val="21"/>
          <w:szCs w:val="21"/>
        </w:rPr>
        <w:t xml:space="preserve">Three saturation functions were evaluated for each channel and the best fit was selected. Television and Banniere Web use a </w:t>
      </w:r>
      <w:r>
        <w:rPr>
          <w:rFonts w:ascii="Arial" w:cs="Arial" w:eastAsia="Arial" w:hAnsi="Arial"/>
          <w:b/>
          <w:bCs/>
          <w:color w:val="333333"/>
          <w:sz w:val="21"/>
          <w:szCs w:val="21"/>
        </w:rPr>
        <w:t xml:space="preserve">logarithmic</w:t>
      </w:r>
      <w:r>
        <w:rPr>
          <w:rFonts w:ascii="Arial" w:cs="Arial" w:eastAsia="Arial" w:hAnsi="Arial"/>
          <w:color w:val="333333"/>
          <w:sz w:val="21"/>
          <w:szCs w:val="21"/>
        </w:rPr>
        <w:t xml:space="preserve"> function (gradual diminishing returns). Radio, Panneaux, and Social Media use a </w:t>
      </w:r>
      <w:r>
        <w:rPr>
          <w:rFonts w:ascii="Arial" w:cs="Arial" w:eastAsia="Arial" w:hAnsi="Arial"/>
          <w:b/>
          <w:bCs/>
          <w:color w:val="333333"/>
          <w:sz w:val="21"/>
          <w:szCs w:val="21"/>
        </w:rPr>
        <w:t xml:space="preserve">power</w:t>
      </w:r>
      <w:r>
        <w:rPr>
          <w:rFonts w:ascii="Arial" w:cs="Arial" w:eastAsia="Arial" w:hAnsi="Arial"/>
          <w:color w:val="333333"/>
          <w:sz w:val="21"/>
          <w:szCs w:val="21"/>
        </w:rPr>
        <w:t xml:space="preserve"> function (moderate curvature). Preroll uses a </w:t>
      </w:r>
      <w:r>
        <w:rPr>
          <w:rFonts w:ascii="Arial" w:cs="Arial" w:eastAsia="Arial" w:hAnsi="Arial"/>
          <w:b/>
          <w:bCs/>
          <w:color w:val="333333"/>
          <w:sz w:val="21"/>
          <w:szCs w:val="21"/>
        </w:rPr>
        <w:t xml:space="preserve">Hill</w:t>
      </w:r>
      <w:r>
        <w:rPr>
          <w:rFonts w:ascii="Arial" w:cs="Arial" w:eastAsia="Arial" w:hAnsi="Arial"/>
          <w:color w:val="333333"/>
          <w:sz w:val="21"/>
          <w:szCs w:val="21"/>
        </w:rPr>
        <w:t xml:space="preserve"> function (S-shaped curve with a clear inflection point). Circulaire Digitale uses a logarithmic function as well.</w:t>
      </w:r>
    </w:p>
    <w:p>
      <w:pPr>
        <w:spacing w:after="160" w:line="276"/>
        <w:jc w:val="both"/>
      </w:pPr>
      <w:r>
        <w:rPr>
          <w:rFonts w:ascii="Arial" w:cs="Arial" w:eastAsia="Arial" w:hAnsi="Arial"/>
          <w:color w:val="333333"/>
          <w:sz w:val="21"/>
          <w:szCs w:val="21"/>
        </w:rPr>
        <w:t xml:space="preserve">The practical implication is that each channel has an optimal spending range. Below that range, returns increase rapidly; above it, additional spend generates diminishing incremental value. The optimization in Section 6 uses these saturation curves to identify the most efficient allocation.</w:t>
      </w:r>
    </w:p>
    <w:p>
      <w:pPr>
        <w:pStyle w:val="Heading2"/>
        <w:spacing w:after="160" w:before="280"/>
      </w:pPr>
      <w:r>
        <w:rPr>
          <w:rFonts w:ascii="Arial" w:cs="Arial" w:eastAsia="Arial" w:hAnsi="Arial"/>
          <w:b/>
          <w:bCs/>
          <w:color w:val="1F4E79"/>
          <w:sz w:val="24"/>
          <w:szCs w:val="24"/>
        </w:rPr>
        <w:t xml:space="preserve">4.3 Seasonal Controls</w:t>
      </w:r>
    </w:p>
    <w:p>
      <w:pPr>
        <w:spacing w:after="160" w:line="276"/>
        <w:jc w:val="both"/>
      </w:pPr>
      <w:r>
        <w:rPr>
          <w:rFonts w:ascii="Arial" w:cs="Arial" w:eastAsia="Arial" w:hAnsi="Arial"/>
          <w:color w:val="333333"/>
          <w:sz w:val="21"/>
          <w:szCs w:val="21"/>
        </w:rPr>
        <w:t xml:space="preserve">The model includes Fourier terms (sine and cosine harmonics) to capture the predictable annual cycle in revenue. These mathematical functions fit a smooth seasonal curve to the data without requiring explicit monthly dummy variables, which would consume too many degrees of freedom in a 36-observation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6"/>
              <w:bottom w:val="single" w:color="1F4E79" w:sz="2"/>
              <w:right w:val="single" w:color="1F4E79" w:sz="2"/>
            </w:tcBorders>
            <w:shd w:fill="EBF5FB" w:val="clear"/>
            <w:tcMar>
              <w:top w:type="dxa" w:w="100"/>
              <w:left w:type="dxa" w:w="160"/>
              <w:bottom w:type="dxa" w:w="100"/>
              <w:right w:type="dxa" w:w="160"/>
            </w:tcMar>
          </w:tcPr>
          <w:p>
            <w:pPr>
              <w:spacing w:after="80"/>
            </w:pPr>
            <w:r>
              <w:rPr>
                <w:rFonts w:ascii="Arial" w:cs="Arial" w:eastAsia="Arial" w:hAnsi="Arial"/>
                <w:b/>
                <w:bCs/>
                <w:color w:val="1F4E79"/>
                <w:sz w:val="20"/>
                <w:szCs w:val="20"/>
              </w:rPr>
              <w:t xml:space="preserve">Adstock Calibration Discussion</w:t>
            </w:r>
          </w:p>
          <w:p>
            <w:pPr>
              <w:spacing w:after="0"/>
            </w:pPr>
            <w:r>
              <w:rPr>
                <w:rFonts w:ascii="Arial" w:cs="Arial" w:eastAsia="Arial" w:hAnsi="Arial"/>
                <w:color w:val="333333"/>
                <w:sz w:val="20"/>
                <w:szCs w:val="20"/>
              </w:rPr>
              <w:t xml:space="preserve">The decay rates above reflect industry-standard values for each media type. In a production model with more data points (weekly granularity would provide 156 observations instead of 36), these rates could be estimated directly from Club Piscine’s data rather than relying on benchmarks. Do the relative rankings (TV having the longest carryover, digital channels the shortest) align with your experience of how these channels perform for Club Piscine?</w:t>
            </w:r>
          </w:p>
        </w:tc>
      </w:tr>
    </w:tbl>
    <w:p>
      <w:pPr>
        <w:spacing w:after="80"/>
      </w:pPr>
    </w:p>
    <w:p>
      <w:pPr>
        <w:pStyle w:val="Heading1"/>
        <w:spacing w:after="200" w:before="360"/>
      </w:pPr>
      <w:r>
        <w:rPr>
          <w:rFonts w:ascii="Arial" w:cs="Arial" w:eastAsia="Arial" w:hAnsi="Arial"/>
          <w:b/>
          <w:bCs/>
          <w:color w:val="1F4E79"/>
          <w:sz w:val="28"/>
          <w:szCs w:val="28"/>
        </w:rPr>
        <w:t xml:space="preserve">5. The Model</w:t>
      </w:r>
    </w:p>
    <w:p>
      <w:pPr>
        <w:spacing w:after="160" w:line="276"/>
        <w:jc w:val="both"/>
      </w:pPr>
      <w:r>
        <w:rPr>
          <w:rFonts w:ascii="Arial" w:cs="Arial" w:eastAsia="Arial" w:hAnsi="Arial"/>
          <w:color w:val="333333"/>
          <w:sz w:val="21"/>
          <w:szCs w:val="21"/>
        </w:rPr>
        <w:t xml:space="preserve">The model uses a </w:t>
      </w:r>
      <w:r>
        <w:rPr>
          <w:rFonts w:ascii="Arial" w:cs="Arial" w:eastAsia="Arial" w:hAnsi="Arial"/>
          <w:b/>
          <w:bCs/>
          <w:color w:val="333333"/>
          <w:sz w:val="21"/>
          <w:szCs w:val="21"/>
        </w:rPr>
        <w:t xml:space="preserve">two-stage Ridge regression</w:t>
      </w:r>
      <w:r>
        <w:rPr>
          <w:rFonts w:ascii="Arial" w:cs="Arial" w:eastAsia="Arial" w:hAnsi="Arial"/>
          <w:color w:val="333333"/>
          <w:sz w:val="21"/>
          <w:szCs w:val="21"/>
        </w:rPr>
        <w:t xml:space="preserve"> approach. This architecture was chosen specifically to address the challenge of separating media effects from seasonality in a dataset where media spend and seasonal demand are naturally correlated.</w:t>
      </w:r>
    </w:p>
    <w:p>
      <w:pPr>
        <w:pStyle w:val="Heading2"/>
        <w:spacing w:after="160" w:before="280"/>
      </w:pPr>
      <w:r>
        <w:rPr>
          <w:rFonts w:ascii="Arial" w:cs="Arial" w:eastAsia="Arial" w:hAnsi="Arial"/>
          <w:b/>
          <w:bCs/>
          <w:color w:val="1F4E79"/>
          <w:sz w:val="24"/>
          <w:szCs w:val="24"/>
        </w:rPr>
        <w:t xml:space="preserve">5.1 Two-Stage Architecture</w:t>
      </w:r>
    </w:p>
    <w:p>
      <w:pPr>
        <w:spacing w:after="120" w:before="200"/>
      </w:pPr>
      <w:r>
        <w:rPr>
          <w:rFonts w:ascii="Arial" w:cs="Arial" w:eastAsia="Arial" w:hAnsi="Arial"/>
          <w:b/>
          <w:bCs/>
          <w:color w:val="333333"/>
          <w:sz w:val="22"/>
          <w:szCs w:val="22"/>
        </w:rPr>
        <w:t xml:space="preserve">Stage 1: Seasonal Baseline</w:t>
      </w:r>
    </w:p>
    <w:p>
      <w:pPr>
        <w:spacing w:after="160" w:line="276"/>
        <w:jc w:val="both"/>
      </w:pPr>
      <w:r>
        <w:rPr>
          <w:rFonts w:ascii="Arial" w:cs="Arial" w:eastAsia="Arial" w:hAnsi="Arial"/>
          <w:color w:val="333333"/>
          <w:sz w:val="21"/>
          <w:szCs w:val="21"/>
        </w:rPr>
        <w:t xml:space="preserve">The first stage estimates the portion of revenue explained by seasonal patterns and weather alone, without any media variables. This stage captures the predictable annual cycle (pool sales peak in summer, fitness in winter) and unusual weather effects (an exceptionally warm spring may pull demand forward). The seasonal baseline alone explains approximately 83.5% of the variation in total revenue (R² = 0.835), which confirms that seasonality is the dominant driver of Club Piscine’s business.</w:t>
      </w:r>
    </w:p>
    <w:p>
      <w:pPr>
        <w:spacing w:after="120" w:before="200"/>
      </w:pPr>
      <w:r>
        <w:rPr>
          <w:rFonts w:ascii="Arial" w:cs="Arial" w:eastAsia="Arial" w:hAnsi="Arial"/>
          <w:b/>
          <w:bCs/>
          <w:color w:val="333333"/>
          <w:sz w:val="22"/>
          <w:szCs w:val="22"/>
        </w:rPr>
        <w:t xml:space="preserve">Stage 2: Media Effects</w:t>
      </w:r>
    </w:p>
    <w:p>
      <w:pPr>
        <w:spacing w:after="160" w:line="276"/>
        <w:jc w:val="both"/>
      </w:pPr>
      <w:r>
        <w:rPr>
          <w:rFonts w:ascii="Arial" w:cs="Arial" w:eastAsia="Arial" w:hAnsi="Arial"/>
          <w:color w:val="333333"/>
          <w:sz w:val="21"/>
          <w:szCs w:val="21"/>
        </w:rPr>
        <w:t xml:space="preserve">The second stage takes the residual revenue (what remains after removing the seasonal baseline) and estimates how much of that residual is explained by media investment. This isolates the incremental contribution of advertising above and beyond what would have happened naturally due to the time of year.</w:t>
      </w:r>
    </w:p>
    <w:p>
      <w:pPr>
        <w:spacing w:after="160" w:line="276"/>
        <w:jc w:val="both"/>
      </w:pPr>
      <w:r>
        <w:rPr>
          <w:rFonts w:ascii="Arial" w:cs="Arial" w:eastAsia="Arial" w:hAnsi="Arial"/>
          <w:color w:val="333333"/>
          <w:sz w:val="21"/>
          <w:szCs w:val="21"/>
        </w:rPr>
        <w:t xml:space="preserve">A </w:t>
      </w:r>
      <w:r>
        <w:rPr>
          <w:rFonts w:ascii="Arial" w:cs="Arial" w:eastAsia="Arial" w:hAnsi="Arial"/>
          <w:b/>
          <w:bCs/>
          <w:color w:val="333333"/>
          <w:sz w:val="21"/>
          <w:szCs w:val="21"/>
        </w:rPr>
        <w:t xml:space="preserve">non-negative constraint</w:t>
      </w:r>
      <w:r>
        <w:rPr>
          <w:rFonts w:ascii="Arial" w:cs="Arial" w:eastAsia="Arial" w:hAnsi="Arial"/>
          <w:color w:val="333333"/>
          <w:sz w:val="21"/>
          <w:szCs w:val="21"/>
        </w:rPr>
        <w:t xml:space="preserve"> is applied in Stage 2 to ensure that no media channel is assigned a negative effect on revenue. While mathematically a negative coefficient can occur due to multicollinearity or confounding, it has no business interpretation (it would imply that advertising reduces sales). This constraint follows established practice in both Google Meridian and Meta Robyn.</w:t>
      </w:r>
    </w:p>
    <w:p>
      <w:pPr>
        <w:pStyle w:val="Heading2"/>
        <w:spacing w:after="160" w:before="280"/>
      </w:pPr>
      <w:r>
        <w:rPr>
          <w:rFonts w:ascii="Arial" w:cs="Arial" w:eastAsia="Arial" w:hAnsi="Arial"/>
          <w:b/>
          <w:bCs/>
          <w:color w:val="1F4E79"/>
          <w:sz w:val="24"/>
          <w:szCs w:val="24"/>
        </w:rPr>
        <w:t xml:space="preserve">5.2 Why Ridge Regression</w:t>
      </w:r>
    </w:p>
    <w:p>
      <w:pPr>
        <w:spacing w:after="160" w:line="276"/>
        <w:jc w:val="both"/>
      </w:pPr>
      <w:r>
        <w:rPr>
          <w:rFonts w:ascii="Arial" w:cs="Arial" w:eastAsia="Arial" w:hAnsi="Arial"/>
          <w:color w:val="333333"/>
          <w:sz w:val="21"/>
          <w:szCs w:val="21"/>
        </w:rPr>
        <w:t xml:space="preserve">Ridge regression was selected over ordinary least squares (OLS) because it handles multicollinearity more gracefully. Media channels are correlated with each other (they tend to be active during the same season), and with only 36 observations for 14 parameters, the model needs regularization to produce stable estimates. Ridge adds a small penalty for large coefficients, which prevents any single channel from dominating the model due to statistical noise.</w:t>
      </w:r>
    </w:p>
    <w:p>
      <w:pPr>
        <w:pStyle w:val="Heading2"/>
        <w:spacing w:after="160" w:before="280"/>
      </w:pPr>
      <w:r>
        <w:rPr>
          <w:rFonts w:ascii="Arial" w:cs="Arial" w:eastAsia="Arial" w:hAnsi="Arial"/>
          <w:b/>
          <w:bCs/>
          <w:color w:val="1F4E79"/>
          <w:sz w:val="24"/>
          <w:szCs w:val="24"/>
        </w:rPr>
        <w:t xml:space="preserve">5.3 Model Fit</w:t>
      </w:r>
    </w:p>
    <w:p>
      <w:pPr>
        <w:spacing w:after="160" w:line="276"/>
        <w:jc w:val="both"/>
      </w:pPr>
      <w:r>
        <w:rPr>
          <w:rFonts w:ascii="Arial" w:cs="Arial" w:eastAsia="Arial" w:hAnsi="Arial"/>
          <w:color w:val="333333"/>
          <w:sz w:val="21"/>
          <w:szCs w:val="21"/>
        </w:rPr>
        <w:t xml:space="preserve">The combined model (seasonal baseline plus media effects) achieves an R-squared of 0.859. R-squared measures the proportion of revenue variation that the model explains, on a scale from 0 to 1. A value of 0.859 means the model captures approximately 86% of the month-to-month variation in total revenue, which is a strong fit for a marketing mix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Component</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R²</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Interpretation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Full Model (Seasonal + Media)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0.859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Strong overall fit</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Stage 1: Seasonal Baseline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0.835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Seasonality explains most variation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Stage 2: Media Contribution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0.087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Media adds incremental lift</w:t>
            </w:r>
          </w:p>
        </w:tc>
      </w:tr>
    </w:tbl>
    <w:p>
      <w:pPr>
        <w:spacing w:after="120"/>
      </w:pPr>
    </w:p>
    <w:p>
      <w:pPr>
        <w:spacing w:after="160" w:line="276"/>
        <w:jc w:val="both"/>
      </w:pPr>
      <w:r>
        <w:rPr>
          <w:rFonts w:ascii="Arial" w:cs="Arial" w:eastAsia="Arial" w:hAnsi="Arial"/>
          <w:color w:val="333333"/>
          <w:sz w:val="21"/>
          <w:szCs w:val="21"/>
        </w:rPr>
        <w:t xml:space="preserve">The relatively modest media R² (0.087) is expected and typical for MMM models. The seasonal baseline does the heavy lifting, and media represents a meaningful but comparatively smaller influence on revenue. This is consistent with the reality that pool, spa, and outdoor furniture purchases are primarily driven by the time of year, with media serving to amplify and shape that demand.</w:t>
      </w:r>
    </w:p>
    <w:p>
      <w:pPr>
        <w:spacing w:after="80"/>
      </w:pPr>
    </w:p>
    <w:p>
      <w:pPr>
        <w:pStyle w:val="Heading1"/>
        <w:spacing w:after="200" w:before="360"/>
      </w:pPr>
      <w:r>
        <w:rPr>
          <w:rFonts w:ascii="Arial" w:cs="Arial" w:eastAsia="Arial" w:hAnsi="Arial"/>
          <w:b/>
          <w:bCs/>
          <w:color w:val="1F4E79"/>
          <w:sz w:val="28"/>
          <w:szCs w:val="28"/>
        </w:rPr>
        <w:t xml:space="preserve">6. Media Effectiveness Results</w:t>
      </w:r>
    </w:p>
    <w:p>
      <w:pPr>
        <w:spacing w:after="160" w:line="276"/>
        <w:jc w:val="both"/>
      </w:pPr>
      <w:r>
        <w:rPr>
          <w:rFonts w:ascii="Arial" w:cs="Arial" w:eastAsia="Arial" w:hAnsi="Arial"/>
          <w:color w:val="333333"/>
          <w:sz w:val="21"/>
          <w:szCs w:val="21"/>
        </w:rPr>
        <w:t xml:space="preserve">The model estimates that media investments account for approximately </w:t>
      </w:r>
      <w:r>
        <w:rPr>
          <w:rFonts w:ascii="Arial" w:cs="Arial" w:eastAsia="Arial" w:hAnsi="Arial"/>
          <w:b/>
          <w:bCs/>
          <w:color w:val="333333"/>
          <w:sz w:val="21"/>
          <w:szCs w:val="21"/>
        </w:rPr>
        <w:t xml:space="preserve">20% of total revenue</w:t>
      </w:r>
      <w:r>
        <w:rPr>
          <w:rFonts w:ascii="Arial" w:cs="Arial" w:eastAsia="Arial" w:hAnsi="Arial"/>
          <w:color w:val="333333"/>
          <w:sz w:val="21"/>
          <w:szCs w:val="21"/>
        </w:rPr>
        <w:t xml:space="preserve"> over the three-year period, or roughly $103M of the $512.4M total. The remaining 80% is attributed to the seasonal baseline (organic demand, brand equity, store presence, and other non-media factors).</w:t>
      </w:r>
    </w:p>
    <w:p>
      <w:pPr>
        <w:spacing w:after="160" w:line="276"/>
        <w:jc w:val="both"/>
      </w:pPr>
      <w:r>
        <w:rPr>
          <w:rFonts w:ascii="Arial" w:cs="Arial" w:eastAsia="Arial" w:hAnsi="Arial"/>
          <w:color w:val="333333"/>
          <w:sz w:val="21"/>
          <w:szCs w:val="21"/>
        </w:rPr>
        <w:t xml:space="preserve">This media contribution level is within the range observed in retail MMM studies, where media typically accounts for 10% to 30% of total sales depending on the category, brand maturity, and market dynamics.</w:t>
      </w:r>
    </w:p>
    <w:p>
      <w:pPr>
        <w:pStyle w:val="Heading2"/>
        <w:spacing w:after="160" w:before="280"/>
      </w:pPr>
      <w:r>
        <w:rPr>
          <w:rFonts w:ascii="Arial" w:cs="Arial" w:eastAsia="Arial" w:hAnsi="Arial"/>
          <w:b/>
          <w:bCs/>
          <w:color w:val="1F4E79"/>
          <w:sz w:val="24"/>
          <w:szCs w:val="24"/>
        </w:rPr>
        <w:t xml:space="preserve">6.1 Channel-Level Contributions</w:t>
      </w:r>
    </w:p>
    <w:p>
      <w:pPr>
        <w:spacing w:after="160" w:line="276"/>
        <w:jc w:val="both"/>
      </w:pPr>
      <w:r>
        <w:rPr>
          <w:rFonts w:ascii="Arial" w:cs="Arial" w:eastAsia="Arial" w:hAnsi="Arial"/>
          <w:color w:val="333333"/>
          <w:sz w:val="21"/>
          <w:szCs w:val="21"/>
        </w:rPr>
        <w:t xml:space="preserve">The table below summarizes each channel’s estimated effectiveness, expressed as the return per $1,000 of media spend (ROAS). These values represent the incremental revenue generated by each channel above the seasonal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1700"/>
        <w:gridCol w:w="20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Channel</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3-Year Spend</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ROAS ($/1K)</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Contribution</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Role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Television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$3.95M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$4,538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17.4%</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Brand building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Radio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$2.17M</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$2,800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5.9%</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Tactical reach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Panneaux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$292K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$3,200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0.9%</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Ambient awareness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Social Media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$827K</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$15,692</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12.6%</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Targeted digital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Preroll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$902K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$11,520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10.1%</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Video storytelling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Banniere Web</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$828K</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$11,873</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9.5%</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Mid-funnel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Circulaire Digitale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$447K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$4,500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2.0%</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Conversion driver</w:t>
            </w:r>
          </w:p>
        </w:tc>
      </w:tr>
    </w:tbl>
    <w:p>
      <w:pPr>
        <w:spacing w:after="120"/>
      </w:pPr>
    </w:p>
    <w:p>
      <w:pPr>
        <w:spacing w:after="160" w:line="276"/>
        <w:jc w:val="both"/>
      </w:pPr>
      <w:r>
        <w:rPr>
          <w:rFonts w:ascii="Arial" w:cs="Arial" w:eastAsia="Arial" w:hAnsi="Arial"/>
          <w:color w:val="333333"/>
          <w:sz w:val="21"/>
          <w:szCs w:val="21"/>
        </w:rPr>
        <w:t xml:space="preserve">Several patterns emerge from these results that align with what the media strategy would predict.</w:t>
      </w:r>
    </w:p>
    <w:p>
      <w:pPr>
        <w:spacing w:after="120" w:before="200"/>
      </w:pPr>
      <w:r>
        <w:rPr>
          <w:rFonts w:ascii="Arial" w:cs="Arial" w:eastAsia="Arial" w:hAnsi="Arial"/>
          <w:b/>
          <w:bCs/>
          <w:color w:val="333333"/>
          <w:sz w:val="22"/>
          <w:szCs w:val="22"/>
        </w:rPr>
        <w:t xml:space="preserve">High-Efficiency Digital Channels</w:t>
      </w:r>
    </w:p>
    <w:p>
      <w:pPr>
        <w:spacing w:after="160" w:line="276"/>
        <w:jc w:val="both"/>
      </w:pPr>
      <w:r>
        <w:rPr>
          <w:rFonts w:ascii="Arial" w:cs="Arial" w:eastAsia="Arial" w:hAnsi="Arial"/>
          <w:color w:val="333333"/>
          <w:sz w:val="21"/>
          <w:szCs w:val="21"/>
        </w:rPr>
        <w:t xml:space="preserve"/>
      </w:r>
      <w:r>
        <w:rPr>
          <w:rFonts w:ascii="Arial" w:cs="Arial" w:eastAsia="Arial" w:hAnsi="Arial"/>
          <w:b/>
          <w:bCs/>
          <w:color w:val="333333"/>
          <w:sz w:val="21"/>
          <w:szCs w:val="21"/>
        </w:rPr>
        <w:t xml:space="preserve">Social Media</w:t>
      </w:r>
      <w:r>
        <w:rPr>
          <w:rFonts w:ascii="Arial" w:cs="Arial" w:eastAsia="Arial" w:hAnsi="Arial"/>
          <w:color w:val="333333"/>
          <w:sz w:val="21"/>
          <w:szCs w:val="21"/>
        </w:rPr>
        <w:t xml:space="preserve"> ($15,692 per $1,000 spent), </w:t>
      </w:r>
      <w:r>
        <w:rPr>
          <w:rFonts w:ascii="Arial" w:cs="Arial" w:eastAsia="Arial" w:hAnsi="Arial"/>
          <w:b/>
          <w:bCs/>
          <w:color w:val="333333"/>
          <w:sz w:val="21"/>
          <w:szCs w:val="21"/>
        </w:rPr>
        <w:t xml:space="preserve">Banniere Web</w:t>
      </w:r>
      <w:r>
        <w:rPr>
          <w:rFonts w:ascii="Arial" w:cs="Arial" w:eastAsia="Arial" w:hAnsi="Arial"/>
          <w:color w:val="333333"/>
          <w:sz w:val="21"/>
          <w:szCs w:val="21"/>
        </w:rPr>
        <w:t xml:space="preserve"> ($11,873), and </w:t>
      </w:r>
      <w:r>
        <w:rPr>
          <w:rFonts w:ascii="Arial" w:cs="Arial" w:eastAsia="Arial" w:hAnsi="Arial"/>
          <w:b/>
          <w:bCs/>
          <w:color w:val="333333"/>
          <w:sz w:val="21"/>
          <w:szCs w:val="21"/>
        </w:rPr>
        <w:t xml:space="preserve">Preroll</w:t>
      </w:r>
      <w:r>
        <w:rPr>
          <w:rFonts w:ascii="Arial" w:cs="Arial" w:eastAsia="Arial" w:hAnsi="Arial"/>
          <w:color w:val="333333"/>
          <w:sz w:val="21"/>
          <w:szCs w:val="21"/>
        </w:rPr>
        <w:t xml:space="preserve"> ($11,520) show the highest returns per dollar. These channels benefit from precise targeting capabilities and relatively lower cost-per-impression compared to traditional media. Their high ROAS suggests that the current spend levels are well within the efficient range on their respective saturation curves.</w:t>
      </w:r>
    </w:p>
    <w:p>
      <w:pPr>
        <w:spacing w:after="120" w:before="200"/>
      </w:pPr>
      <w:r>
        <w:rPr>
          <w:rFonts w:ascii="Arial" w:cs="Arial" w:eastAsia="Arial" w:hAnsi="Arial"/>
          <w:b/>
          <w:bCs/>
          <w:color w:val="333333"/>
          <w:sz w:val="22"/>
          <w:szCs w:val="22"/>
        </w:rPr>
        <w:t xml:space="preserve">Television as Brand Foundation</w:t>
      </w:r>
    </w:p>
    <w:p>
      <w:pPr>
        <w:spacing w:after="160" w:line="276"/>
        <w:jc w:val="both"/>
      </w:pPr>
      <w:r>
        <w:rPr>
          <w:rFonts w:ascii="Arial" w:cs="Arial" w:eastAsia="Arial" w:hAnsi="Arial"/>
          <w:color w:val="333333"/>
          <w:sz w:val="21"/>
          <w:szCs w:val="21"/>
        </w:rPr>
        <w:t xml:space="preserve">Television’s ROAS of $4,538 per $1,000 is more modest on a per-dollar basis, but it remains the single largest contributor to media-driven revenue (17.4%) due to its substantial spend level. Television’s role in brand building and creating a halo effect that amplifies other channels is well-documented in marketing literature but difficult to capture fully in a statistical model. The model’s estimate should be considered a lower bound on television’s true contribution.</w:t>
      </w:r>
    </w:p>
    <w:p>
      <w:pPr>
        <w:spacing w:after="120" w:before="200"/>
      </w:pPr>
      <w:r>
        <w:rPr>
          <w:rFonts w:ascii="Arial" w:cs="Arial" w:eastAsia="Arial" w:hAnsi="Arial"/>
          <w:b/>
          <w:bCs/>
          <w:color w:val="333333"/>
          <w:sz w:val="22"/>
          <w:szCs w:val="22"/>
        </w:rPr>
        <w:t xml:space="preserve">Supporting Channels</w:t>
      </w:r>
    </w:p>
    <w:p>
      <w:pPr>
        <w:spacing w:after="160" w:line="276"/>
        <w:jc w:val="both"/>
      </w:pPr>
      <w:r>
        <w:rPr>
          <w:rFonts w:ascii="Arial" w:cs="Arial" w:eastAsia="Arial" w:hAnsi="Arial"/>
          <w:color w:val="333333"/>
          <w:sz w:val="21"/>
          <w:szCs w:val="21"/>
        </w:rPr>
        <w:t xml:space="preserve">Radio ($2,800 per $1,000), Panneaux ($3,200), and Circulaire Digitale ($4,500) show positive but more moderate returns. These channels serve specific strategic functions: radio provides tactical mass reach during promotional windows, outdoor billboards maintain ambient awareness during the commute, and digital flyers drive direct conversion during peak season. Their contribution is meaningful within the overall media ecosystem, even if their per-dollar efficiency is lower than digital channels.</w:t>
      </w:r>
    </w:p>
    <w:p>
      <w:pPr>
        <w:pStyle w:val="Heading2"/>
        <w:spacing w:after="160" w:before="280"/>
      </w:pPr>
      <w:r>
        <w:rPr>
          <w:rFonts w:ascii="Arial" w:cs="Arial" w:eastAsia="Arial" w:hAnsi="Arial"/>
          <w:b/>
          <w:bCs/>
          <w:color w:val="1F4E79"/>
          <w:sz w:val="24"/>
          <w:szCs w:val="24"/>
        </w:rPr>
        <w:t xml:space="preserve">6.2 Confidence and Precision</w:t>
      </w:r>
    </w:p>
    <w:p>
      <w:pPr>
        <w:spacing w:after="160" w:line="276"/>
        <w:jc w:val="both"/>
      </w:pPr>
      <w:r>
        <w:rPr>
          <w:rFonts w:ascii="Arial" w:cs="Arial" w:eastAsia="Arial" w:hAnsi="Arial"/>
          <w:color w:val="333333"/>
          <w:sz w:val="21"/>
          <w:szCs w:val="21"/>
        </w:rPr>
        <w:t xml:space="preserve">The model uses bootstrap resampling (1,000 iterations) to estimate the range of plausible values for each channel’s effectiveness. Preroll and Television show the tightest confidence ranges, indicating that the model is most confident in these estimates. Digital channels with lower spend levels (Social Media, Banniere Web) have wider ranges, which reflects the statistical reality that channels with less variation in spend are harder to measure precisely with 36 observations.</w:t>
      </w:r>
    </w:p>
    <w:p>
      <w:pPr>
        <w:spacing w:after="160" w:line="276"/>
        <w:jc w:val="both"/>
      </w:pPr>
      <w:r>
        <w:rPr>
          <w:rFonts w:ascii="Arial" w:cs="Arial" w:eastAsia="Arial" w:hAnsi="Arial"/>
          <w:color w:val="333333"/>
          <w:sz w:val="21"/>
          <w:szCs w:val="21"/>
        </w:rPr>
        <w:t xml:space="preserve">A production model with weekly data (156 observations) or an additional year of data would narrow these ranges considerably and provide more precise estimates for all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6"/>
              <w:bottom w:val="single" w:color="1F4E79" w:sz="2"/>
              <w:right w:val="single" w:color="1F4E79" w:sz="2"/>
            </w:tcBorders>
            <w:shd w:fill="EBF5FB" w:val="clear"/>
            <w:tcMar>
              <w:top w:type="dxa" w:w="100"/>
              <w:left w:type="dxa" w:w="160"/>
              <w:bottom w:type="dxa" w:w="100"/>
              <w:right w:type="dxa" w:w="160"/>
            </w:tcMar>
          </w:tcPr>
          <w:p>
            <w:pPr>
              <w:spacing w:after="80"/>
            </w:pPr>
            <w:r>
              <w:rPr>
                <w:rFonts w:ascii="Arial" w:cs="Arial" w:eastAsia="Arial" w:hAnsi="Arial"/>
                <w:b/>
                <w:bCs/>
                <w:color w:val="1F4E79"/>
                <w:sz w:val="20"/>
                <w:szCs w:val="20"/>
              </w:rPr>
              <w:t xml:space="preserve">Results Validation</w:t>
            </w:r>
          </w:p>
          <w:p>
            <w:pPr>
              <w:spacing w:after="0"/>
            </w:pPr>
            <w:r>
              <w:rPr>
                <w:rFonts w:ascii="Arial" w:cs="Arial" w:eastAsia="Arial" w:hAnsi="Arial"/>
                <w:color w:val="333333"/>
                <w:sz w:val="20"/>
                <w:szCs w:val="20"/>
              </w:rPr>
              <w:t xml:space="preserve">Do these channel effectiveness rankings match your qualitative assessment of how these media channels have performed? For example, the model identifies Preroll and Social Media as high-efficiency channels. Are there campaign-level results or platform analytics that corroborate or challenge these findings?</w:t>
            </w:r>
          </w:p>
        </w:tc>
      </w:tr>
    </w:tbl>
    <w:p>
      <w:pPr>
        <w:spacing w:after="80"/>
      </w:pPr>
    </w:p>
    <w:p>
      <w:pPr>
        <w:pStyle w:val="Heading1"/>
        <w:spacing w:after="200" w:before="360"/>
      </w:pPr>
      <w:r>
        <w:rPr>
          <w:rFonts w:ascii="Arial" w:cs="Arial" w:eastAsia="Arial" w:hAnsi="Arial"/>
          <w:b/>
          <w:bCs/>
          <w:color w:val="1F4E79"/>
          <w:sz w:val="28"/>
          <w:szCs w:val="28"/>
        </w:rPr>
        <w:t xml:space="preserve">7. Budget Optimization</w:t>
      </w:r>
    </w:p>
    <w:p>
      <w:pPr>
        <w:spacing w:after="160" w:line="276"/>
        <w:jc w:val="both"/>
      </w:pPr>
      <w:r>
        <w:rPr>
          <w:rFonts w:ascii="Arial" w:cs="Arial" w:eastAsia="Arial" w:hAnsi="Arial"/>
          <w:color w:val="333333"/>
          <w:sz w:val="21"/>
          <w:szCs w:val="21"/>
        </w:rPr>
        <w:t xml:space="preserve">Given the channel effectiveness estimates from the model, a nonlinear optimization was performed to identify the budget allocation that maximizes total media-driven revenue. The optimization respects business constraints provided by the client, including channel spending floors and ceilings, traditional-to-digital mix targets, and strategic requirements.</w:t>
      </w:r>
    </w:p>
    <w:p>
      <w:pPr>
        <w:pStyle w:val="Heading2"/>
        <w:spacing w:after="160" w:before="280"/>
      </w:pPr>
      <w:r>
        <w:rPr>
          <w:rFonts w:ascii="Arial" w:cs="Arial" w:eastAsia="Arial" w:hAnsi="Arial"/>
          <w:b/>
          <w:bCs/>
          <w:color w:val="1F4E79"/>
          <w:sz w:val="24"/>
          <w:szCs w:val="24"/>
        </w:rPr>
        <w:t xml:space="preserve">7.1 Optimization Approach</w:t>
      </w:r>
    </w:p>
    <w:p>
      <w:pPr>
        <w:spacing w:after="160" w:line="276"/>
        <w:jc w:val="both"/>
      </w:pPr>
      <w:r>
        <w:rPr>
          <w:rFonts w:ascii="Arial" w:cs="Arial" w:eastAsia="Arial" w:hAnsi="Arial"/>
          <w:color w:val="333333"/>
          <w:sz w:val="21"/>
          <w:szCs w:val="21"/>
        </w:rPr>
        <w:t xml:space="preserve">The optimizer uses each channel’s saturation curve (from Section 4) and effectiveness coefficient (from Section 6) to predict the total media-driven revenue for any given budget allocation. It then searches for the allocation that maximizes this predicted revenue, subject to the constraint that total spend remains equal to the current budget.</w:t>
      </w:r>
    </w:p>
    <w:p>
      <w:pPr>
        <w:spacing w:after="160" w:line="276"/>
        <w:jc w:val="both"/>
      </w:pPr>
      <w:r>
        <w:rPr>
          <w:rFonts w:ascii="Arial" w:cs="Arial" w:eastAsia="Arial" w:hAnsi="Arial"/>
          <w:color w:val="333333"/>
          <w:sz w:val="21"/>
          <w:szCs w:val="21"/>
        </w:rPr>
        <w:t xml:space="preserve">Channels with higher model confidence are given more flexibility to move from their current allocation, while channels with lower confidence are constrained closer to their current spend. This prevents the optimizer from making aggressive shifts based on uncertain estimates.</w:t>
      </w:r>
    </w:p>
    <w:p>
      <w:pPr>
        <w:pStyle w:val="Heading2"/>
        <w:spacing w:after="160" w:before="280"/>
      </w:pPr>
      <w:r>
        <w:rPr>
          <w:rFonts w:ascii="Arial" w:cs="Arial" w:eastAsia="Arial" w:hAnsi="Arial"/>
          <w:b/>
          <w:bCs/>
          <w:color w:val="1F4E79"/>
          <w:sz w:val="24"/>
          <w:szCs w:val="24"/>
        </w:rPr>
        <w:t xml:space="preserve">7.2 Channel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1400"/>
        <w:gridCol w:w="24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Channel</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Current $/mo</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Floor</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Ceiling</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Television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$109,693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$80K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$180K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Brand building minimum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Radio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$60,202</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$30K</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$90K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Regional reach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Panneaux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$8,125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$5K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$30K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Awareness presence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Social Media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$22,984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$15K</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$90K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Digital growth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Preroll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$25,066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$15K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$110K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Highest confidence ROAS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Banniere Web</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$22,989</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$20K</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$80K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Mid-funnel consideration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Circulaire Digitale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$12,404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$8K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$40K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Conversion driver</w:t>
            </w:r>
          </w:p>
        </w:tc>
      </w:tr>
    </w:tbl>
    <w:p>
      <w:pPr>
        <w:spacing w:after="120"/>
      </w:pPr>
    </w:p>
    <w:p>
      <w:pPr>
        <w:pStyle w:val="Heading2"/>
        <w:spacing w:after="160" w:before="280"/>
      </w:pPr>
      <w:r>
        <w:rPr>
          <w:rFonts w:ascii="Arial" w:cs="Arial" w:eastAsia="Arial" w:hAnsi="Arial"/>
          <w:b/>
          <w:bCs/>
          <w:color w:val="1F4E79"/>
          <w:sz w:val="24"/>
          <w:szCs w:val="24"/>
        </w:rPr>
        <w:t xml:space="preserve">7.3 Recommended Allocation</w:t>
      </w:r>
    </w:p>
    <w:p>
      <w:pPr>
        <w:spacing w:after="160" w:line="276"/>
        <w:jc w:val="both"/>
      </w:pPr>
      <w:r>
        <w:rPr>
          <w:rFonts w:ascii="Arial" w:cs="Arial" w:eastAsia="Arial" w:hAnsi="Arial"/>
          <w:color w:val="333333"/>
          <w:sz w:val="21"/>
          <w:szCs w:val="21"/>
        </w:rPr>
        <w:t xml:space="preserve">The optimized allocation, holding total monthly budget constant at $261,464, is estimated to produce a </w:t>
      </w:r>
      <w:r>
        <w:rPr>
          <w:rFonts w:ascii="Arial" w:cs="Arial" w:eastAsia="Arial" w:hAnsi="Arial"/>
          <w:b/>
          <w:bCs/>
          <w:color w:val="333333"/>
          <w:sz w:val="21"/>
          <w:szCs w:val="21"/>
        </w:rPr>
        <w:t xml:space="preserve">21.4% increase</w:t>
      </w:r>
      <w:r>
        <w:rPr>
          <w:rFonts w:ascii="Arial" w:cs="Arial" w:eastAsia="Arial" w:hAnsi="Arial"/>
          <w:color w:val="333333"/>
          <w:sz w:val="21"/>
          <w:szCs w:val="21"/>
        </w:rPr>
        <w:t xml:space="preserve"> in media-driven revenue compared to the current allocation. The key shifts are: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Preroll</w:t>
      </w:r>
      <w:r>
        <w:rPr>
          <w:rFonts w:ascii="Arial" w:cs="Arial" w:eastAsia="Arial" w:hAnsi="Arial"/>
          <w:color w:val="333333"/>
          <w:sz w:val="21"/>
          <w:szCs w:val="21"/>
        </w:rPr>
        <w:t xml:space="preserve">: Increase from $25K to $51K per month (+102%). This channel shows the highest confidence and is operating well below its saturation point.</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Social Media</w:t>
      </w:r>
      <w:r>
        <w:rPr>
          <w:rFonts w:ascii="Arial" w:cs="Arial" w:eastAsia="Arial" w:hAnsi="Arial"/>
          <w:color w:val="333333"/>
          <w:sz w:val="21"/>
          <w:szCs w:val="21"/>
        </w:rPr>
        <w:t xml:space="preserve">: Increase from $23K to $36K per month (+56%). High per-dollar returns with room to scale.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Banniere Web</w:t>
      </w:r>
      <w:r>
        <w:rPr>
          <w:rFonts w:ascii="Arial" w:cs="Arial" w:eastAsia="Arial" w:hAnsi="Arial"/>
          <w:color w:val="333333"/>
          <w:sz w:val="21"/>
          <w:szCs w:val="21"/>
        </w:rPr>
        <w:t xml:space="preserve">: Increase from $23K to $30K per month (+32%). Moderate increase to capture available efficiency.</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Television</w:t>
      </w:r>
      <w:r>
        <w:rPr>
          <w:rFonts w:ascii="Arial" w:cs="Arial" w:eastAsia="Arial" w:hAnsi="Arial"/>
          <w:color w:val="333333"/>
          <w:sz w:val="21"/>
          <w:szCs w:val="21"/>
        </w:rPr>
        <w:t xml:space="preserve">: Reduce from $110K to $80K per month (strategic floor). Redeploy excess to higher-efficiency digital channels while maintaining brand-building presence.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Radio, Panneaux, Circulaire Digitale</w:t>
      </w:r>
      <w:r>
        <w:rPr>
          <w:rFonts w:ascii="Arial" w:cs="Arial" w:eastAsia="Arial" w:hAnsi="Arial"/>
          <w:color w:val="333333"/>
          <w:sz w:val="21"/>
          <w:szCs w:val="21"/>
        </w:rPr>
        <w:t xml:space="preserve">: Modest reductions of approximately 20%, keeping spend at levels that maintain strategic reach and conversion roles.</w:t>
      </w:r>
    </w:p>
    <w:p>
      <w:pPr>
        <w:spacing w:after="100"/>
      </w:pPr>
    </w:p>
    <w:p>
      <w:pPr>
        <w:pStyle w:val="Heading2"/>
        <w:spacing w:after="160" w:before="280"/>
      </w:pPr>
      <w:r>
        <w:rPr>
          <w:rFonts w:ascii="Arial" w:cs="Arial" w:eastAsia="Arial" w:hAnsi="Arial"/>
          <w:b/>
          <w:bCs/>
          <w:color w:val="1F4E79"/>
          <w:sz w:val="24"/>
          <w:szCs w:val="24"/>
        </w:rPr>
        <w:t xml:space="preserve">7.4 Budget Cut Feasibility</w:t>
      </w:r>
    </w:p>
    <w:p>
      <w:pPr>
        <w:spacing w:after="160" w:line="276"/>
        <w:jc w:val="both"/>
      </w:pPr>
      <w:r>
        <w:rPr>
          <w:rFonts w:ascii="Arial" w:cs="Arial" w:eastAsia="Arial" w:hAnsi="Arial"/>
          <w:color w:val="333333"/>
          <w:sz w:val="21"/>
          <w:szCs w:val="21"/>
        </w:rPr>
        <w:t xml:space="preserve">An important finding from the optimization analysis is that a </w:t>
      </w:r>
      <w:r>
        <w:rPr>
          <w:rFonts w:ascii="Arial" w:cs="Arial" w:eastAsia="Arial" w:hAnsi="Arial"/>
          <w:b/>
          <w:bCs/>
          <w:color w:val="333333"/>
          <w:sz w:val="21"/>
          <w:szCs w:val="21"/>
        </w:rPr>
        <w:t xml:space="preserve">10% budget reduction</w:t>
      </w:r>
      <w:r>
        <w:rPr>
          <w:rFonts w:ascii="Arial" w:cs="Arial" w:eastAsia="Arial" w:hAnsi="Arial"/>
          <w:color w:val="333333"/>
          <w:sz w:val="21"/>
          <w:szCs w:val="21"/>
        </w:rPr>
        <w:t xml:space="preserve"> ($26,146 per month, or approximately $314K per year) combined with optimized allocation would still </w:t>
      </w:r>
      <w:r>
        <w:rPr>
          <w:rFonts w:ascii="Arial" w:cs="Arial" w:eastAsia="Arial" w:hAnsi="Arial"/>
          <w:b/>
          <w:bCs/>
          <w:color w:val="333333"/>
          <w:sz w:val="21"/>
          <w:szCs w:val="21"/>
        </w:rPr>
        <w:t xml:space="preserve">exceed current performance by 8.9%</w:t>
      </w:r>
      <w:r>
        <w:rPr>
          <w:rFonts w:ascii="Arial" w:cs="Arial" w:eastAsia="Arial" w:hAnsi="Arial"/>
          <w:color w:val="333333"/>
          <w:sz w:val="21"/>
          <w:szCs w:val="21"/>
        </w:rPr>
        <w:t xml:space="preserve">. Even a 15% cut essentially matches current revenue levels when the remaining budget is optimally distributed. This suggests that reallocation is at least as important as the total budget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Scenario</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Monthly Budget</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vs. Current</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Annual Savings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Optimized (same budget)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$261,464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+21.4%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$0</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5% cut + optimized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$248,390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+15.9%</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$157K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10% cut + optimized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$235,317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+8.9%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$314K</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15% cut + optimized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$222,244</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-0.1%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$470K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6"/>
              <w:bottom w:val="single" w:color="1F4E79" w:sz="2"/>
              <w:right w:val="single" w:color="1F4E79" w:sz="2"/>
            </w:tcBorders>
            <w:shd w:fill="EBF5FB" w:val="clear"/>
            <w:tcMar>
              <w:top w:type="dxa" w:w="100"/>
              <w:left w:type="dxa" w:w="160"/>
              <w:bottom w:type="dxa" w:w="100"/>
              <w:right w:type="dxa" w:w="160"/>
            </w:tcMar>
          </w:tcPr>
          <w:p>
            <w:pPr>
              <w:spacing w:after="80"/>
            </w:pPr>
            <w:r>
              <w:rPr>
                <w:rFonts w:ascii="Arial" w:cs="Arial" w:eastAsia="Arial" w:hAnsi="Arial"/>
                <w:b/>
                <w:bCs/>
                <w:color w:val="1F4E79"/>
                <w:sz w:val="20"/>
                <w:szCs w:val="20"/>
              </w:rPr>
              <w:t xml:space="preserve">Strategic Constraints Review</w:t>
            </w:r>
          </w:p>
          <w:p>
            <w:pPr>
              <w:spacing w:after="0"/>
            </w:pPr>
            <w:r>
              <w:rPr>
                <w:rFonts w:ascii="Arial" w:cs="Arial" w:eastAsia="Arial" w:hAnsi="Arial"/>
                <w:color w:val="333333"/>
                <w:sz w:val="20"/>
                <w:szCs w:val="20"/>
              </w:rPr>
              <w:t xml:space="preserve">The channel floors and ceilings above were based on initial discussions. Do these ranges accurately reflect the minimum commitments required for each channel? For example, is the $80K television floor sufficient to maintain the brand-building presence needed for early-season awareness? Are there contractual minimums with media partners that should be factored in?</w:t>
            </w:r>
          </w:p>
        </w:tc>
      </w:tr>
    </w:tbl>
    <w:p>
      <w:pPr>
        <w:spacing w:after="80"/>
      </w:pPr>
    </w:p>
    <w:p>
      <w:pPr>
        <w:pStyle w:val="Heading1"/>
        <w:spacing w:after="200" w:before="360"/>
      </w:pPr>
      <w:r>
        <w:rPr>
          <w:rFonts w:ascii="Arial" w:cs="Arial" w:eastAsia="Arial" w:hAnsi="Arial"/>
          <w:b/>
          <w:bCs/>
          <w:color w:val="1F4E79"/>
          <w:sz w:val="28"/>
          <w:szCs w:val="28"/>
        </w:rPr>
        <w:t xml:space="preserve">8. Bayesian Validation</w:t>
      </w:r>
    </w:p>
    <w:p>
      <w:pPr>
        <w:spacing w:after="160" w:line="276"/>
        <w:jc w:val="both"/>
      </w:pPr>
      <w:r>
        <w:rPr>
          <w:rFonts w:ascii="Arial" w:cs="Arial" w:eastAsia="Arial" w:hAnsi="Arial"/>
          <w:color w:val="333333"/>
          <w:sz w:val="21"/>
          <w:szCs w:val="21"/>
        </w:rPr>
        <w:t xml:space="preserve">As an additional validation step, the model was re-estimated using a Bayesian framework (PyMC-Marketing), which is the same engine underlying Meta’s Robyn and Google’s Meridian. The Bayesian approach provides a complementary perspective by jointly estimating all model parameters (adstock decay, saturation, and coefficients) in a single step, rather than the two-stage approach used in the primary model.</w:t>
      </w:r>
    </w:p>
    <w:p>
      <w:pPr>
        <w:pStyle w:val="Heading2"/>
        <w:spacing w:after="160" w:before="280"/>
      </w:pPr>
      <w:r>
        <w:rPr>
          <w:rFonts w:ascii="Arial" w:cs="Arial" w:eastAsia="Arial" w:hAnsi="Arial"/>
          <w:b/>
          <w:bCs/>
          <w:color w:val="1F4E79"/>
          <w:sz w:val="24"/>
          <w:szCs w:val="24"/>
        </w:rPr>
        <w:t xml:space="preserve">8.1 Purpose</w:t>
      </w:r>
    </w:p>
    <w:p>
      <w:pPr>
        <w:spacing w:after="160" w:line="276"/>
        <w:jc w:val="both"/>
      </w:pPr>
      <w:r>
        <w:rPr>
          <w:rFonts w:ascii="Arial" w:cs="Arial" w:eastAsia="Arial" w:hAnsi="Arial"/>
          <w:color w:val="333333"/>
          <w:sz w:val="21"/>
          <w:szCs w:val="21"/>
        </w:rPr>
        <w:t xml:space="preserve">The Bayesian model serves as a cross-check rather than a replacement. If both approaches produce broadly consistent results, it increases confidence in the findings. Where they diverge, it highlights areas of genuine uncertainty that warrant further investigation with additional data.</w:t>
      </w:r>
    </w:p>
    <w:p>
      <w:pPr>
        <w:pStyle w:val="Heading2"/>
        <w:spacing w:after="160" w:before="280"/>
      </w:pPr>
      <w:r>
        <w:rPr>
          <w:rFonts w:ascii="Arial" w:cs="Arial" w:eastAsia="Arial" w:hAnsi="Arial"/>
          <w:b/>
          <w:bCs/>
          <w:color w:val="1F4E79"/>
          <w:sz w:val="24"/>
          <w:szCs w:val="24"/>
        </w:rPr>
        <w:t xml:space="preserve">8.2 Key Findings</w:t>
      </w:r>
    </w:p>
    <w:p>
      <w:pPr>
        <w:spacing w:after="160" w:line="276"/>
        <w:jc w:val="both"/>
      </w:pPr>
      <w:r>
        <w:rPr>
          <w:rFonts w:ascii="Arial" w:cs="Arial" w:eastAsia="Arial" w:hAnsi="Arial"/>
          <w:color w:val="333333"/>
          <w:sz w:val="21"/>
          <w:szCs w:val="21"/>
        </w:rPr>
        <w:t xml:space="preserve">The Bayesian model achieved an in-sample R² of 0.951, with excellent convergence diagnostics (all R-hat values below 1.01, no divergent transitions across 8,000 posterior samples). The results are broadly consistent with the primary Ridge model on three important dimensions.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Channel rankings are preserved</w:t>
      </w:r>
      <w:r>
        <w:rPr>
          <w:rFonts w:ascii="Arial" w:cs="Arial" w:eastAsia="Arial" w:hAnsi="Arial"/>
          <w:color w:val="333333"/>
          <w:sz w:val="21"/>
          <w:szCs w:val="21"/>
        </w:rPr>
        <w:t xml:space="preserve">: Preroll remains the highest-confidence channel in both models. Television, Social Media, and Banniere Web maintain their relative positions.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Adstock decay rates align</w:t>
      </w:r>
      <w:r>
        <w:rPr>
          <w:rFonts w:ascii="Arial" w:cs="Arial" w:eastAsia="Arial" w:hAnsi="Arial"/>
          <w:color w:val="333333"/>
          <w:sz w:val="21"/>
          <w:szCs w:val="21"/>
        </w:rPr>
        <w:t xml:space="preserve">: The Bayesian model’s learned decay rates closely match the industry benchmarks used in the primary model (e.g., Television: 0.18 Bayesian vs. 0.21 benchmark; Radio: 0.52 vs. 0.50).</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Non-negativity is natural</w:t>
      </w:r>
      <w:r>
        <w:rPr>
          <w:rFonts w:ascii="Arial" w:cs="Arial" w:eastAsia="Arial" w:hAnsi="Arial"/>
          <w:color w:val="333333"/>
          <w:sz w:val="21"/>
          <w:szCs w:val="21"/>
        </w:rPr>
        <w:t xml:space="preserve">: The Bayesian model uses priors that naturally enforce non-negative media effects, arriving at the same constraint through a different mechanism.</w:t>
      </w:r>
    </w:p>
    <w:p>
      <w:pPr>
        <w:spacing w:after="100"/>
      </w:pPr>
    </w:p>
    <w:p>
      <w:pPr>
        <w:pStyle w:val="Heading2"/>
        <w:spacing w:after="160" w:before="280"/>
      </w:pPr>
      <w:r>
        <w:rPr>
          <w:rFonts w:ascii="Arial" w:cs="Arial" w:eastAsia="Arial" w:hAnsi="Arial"/>
          <w:b/>
          <w:bCs/>
          <w:color w:val="1F4E79"/>
          <w:sz w:val="24"/>
          <w:szCs w:val="24"/>
        </w:rPr>
        <w:t xml:space="preserve">8.3 Where Models Diverge</w:t>
      </w:r>
    </w:p>
    <w:p>
      <w:pPr>
        <w:spacing w:after="160" w:line="276"/>
        <w:jc w:val="both"/>
      </w:pPr>
      <w:r>
        <w:rPr>
          <w:rFonts w:ascii="Arial" w:cs="Arial" w:eastAsia="Arial" w:hAnsi="Arial"/>
          <w:color w:val="333333"/>
          <w:sz w:val="21"/>
          <w:szCs w:val="21"/>
        </w:rPr>
        <w:t xml:space="preserve">The Bayesian model attributes a higher share of revenue to media overall, driven by its more flexible parameterization. This is a known behavior of Bayesian MMMs with small samples, where the model’s flexibility can lead to higher media attribution. The primary Ridge model’s more conservative estimate is appropriate for a POC with 36 observations.</w:t>
      </w:r>
    </w:p>
    <w:p>
      <w:pPr>
        <w:spacing w:after="160" w:line="276"/>
        <w:jc w:val="both"/>
      </w:pPr>
      <w:r>
        <w:rPr>
          <w:rFonts w:ascii="Arial" w:cs="Arial" w:eastAsia="Arial" w:hAnsi="Arial"/>
          <w:color w:val="333333"/>
          <w:sz w:val="21"/>
          <w:szCs w:val="21"/>
        </w:rPr>
        <w:t xml:space="preserve">The consistency of channel rankings and decay rate estimates between the two approaches provides meaningful validation that the core findings are not artifacts of a particular modeling choice.</w:t>
      </w:r>
    </w:p>
    <w:p>
      <w:pPr>
        <w:spacing w:after="80"/>
      </w:pPr>
    </w:p>
    <w:p>
      <w:pPr>
        <w:pStyle w:val="Heading1"/>
        <w:spacing w:after="200" w:before="360"/>
      </w:pPr>
      <w:r>
        <w:rPr>
          <w:rFonts w:ascii="Arial" w:cs="Arial" w:eastAsia="Arial" w:hAnsi="Arial"/>
          <w:b/>
          <w:bCs/>
          <w:color w:val="1F4E79"/>
          <w:sz w:val="28"/>
          <w:szCs w:val="28"/>
        </w:rPr>
        <w:t xml:space="preserve">9. Limitations and Next Steps</w:t>
      </w:r>
    </w:p>
    <w:p>
      <w:pPr>
        <w:pStyle w:val="Heading2"/>
        <w:spacing w:after="160" w:before="280"/>
      </w:pPr>
      <w:r>
        <w:rPr>
          <w:rFonts w:ascii="Arial" w:cs="Arial" w:eastAsia="Arial" w:hAnsi="Arial"/>
          <w:b/>
          <w:bCs/>
          <w:color w:val="1F4E79"/>
          <w:sz w:val="24"/>
          <w:szCs w:val="24"/>
        </w:rPr>
        <w:t xml:space="preserve">9.1 Current Limitations</w:t>
      </w:r>
    </w:p>
    <w:p>
      <w:pPr>
        <w:spacing w:after="160" w:line="276"/>
        <w:jc w:val="both"/>
      </w:pPr>
      <w:r>
        <w:rPr>
          <w:rFonts w:ascii="Arial" w:cs="Arial" w:eastAsia="Arial" w:hAnsi="Arial"/>
          <w:color w:val="333333"/>
          <w:sz w:val="21"/>
          <w:szCs w:val="21"/>
        </w:rPr>
        <w:t xml:space="preserve">This POC was designed to demonstrate feasibility and provide directional insights. Several limitations should be considered when interpreting the results.</w:t>
      </w:r>
    </w:p>
    <w:p>
      <w:pPr>
        <w:spacing w:after="120" w:before="200"/>
      </w:pPr>
      <w:r>
        <w:rPr>
          <w:rFonts w:ascii="Arial" w:cs="Arial" w:eastAsia="Arial" w:hAnsi="Arial"/>
          <w:b/>
          <w:bCs/>
          <w:color w:val="333333"/>
          <w:sz w:val="22"/>
          <w:szCs w:val="22"/>
        </w:rPr>
        <w:t xml:space="preserve">Sample Size</w:t>
      </w:r>
    </w:p>
    <w:p>
      <w:pPr>
        <w:spacing w:after="160" w:line="276"/>
        <w:jc w:val="both"/>
      </w:pPr>
      <w:r>
        <w:rPr>
          <w:rFonts w:ascii="Arial" w:cs="Arial" w:eastAsia="Arial" w:hAnsi="Arial"/>
          <w:color w:val="333333"/>
          <w:sz w:val="21"/>
          <w:szCs w:val="21"/>
        </w:rPr>
        <w:t xml:space="preserve">With 36 monthly observations and 14 parameters, the model operates at a parameter-to-observation ratio of 2.6:1, below the standard 5:1 recommendation. This is the single largest constraint on precision. Moving to weekly data (156 observations available in the raw data) would substantially improve this ratio and is the highest-priority enhancement for a production model.</w:t>
      </w:r>
    </w:p>
    <w:p>
      <w:pPr>
        <w:spacing w:after="120" w:before="200"/>
      </w:pPr>
      <w:r>
        <w:rPr>
          <w:rFonts w:ascii="Arial" w:cs="Arial" w:eastAsia="Arial" w:hAnsi="Arial"/>
          <w:b/>
          <w:bCs/>
          <w:color w:val="333333"/>
          <w:sz w:val="22"/>
          <w:szCs w:val="22"/>
        </w:rPr>
        <w:t xml:space="preserve">Cross-Channel Synergies</w:t>
      </w:r>
    </w:p>
    <w:p>
      <w:pPr>
        <w:spacing w:after="160" w:line="276"/>
        <w:jc w:val="both"/>
      </w:pPr>
      <w:r>
        <w:rPr>
          <w:rFonts w:ascii="Arial" w:cs="Arial" w:eastAsia="Arial" w:hAnsi="Arial"/>
          <w:color w:val="333333"/>
          <w:sz w:val="21"/>
          <w:szCs w:val="21"/>
        </w:rPr>
        <w:t xml:space="preserve">The model treats each channel independently. In reality, media channels interact: a television campaign may prime consumers to respond more strongly to a subsequent social media ad (the "halo effect"). These synergies are well-documented in marketing literature but require interaction terms or hierarchical models that demand more data points than currently available.</w:t>
      </w:r>
    </w:p>
    <w:p>
      <w:pPr>
        <w:spacing w:after="120" w:before="200"/>
      </w:pPr>
      <w:r>
        <w:rPr>
          <w:rFonts w:ascii="Arial" w:cs="Arial" w:eastAsia="Arial" w:hAnsi="Arial"/>
          <w:b/>
          <w:bCs/>
          <w:color w:val="333333"/>
          <w:sz w:val="22"/>
          <w:szCs w:val="22"/>
        </w:rPr>
        <w:t xml:space="preserve">Unmodeled Factors</w:t>
      </w:r>
    </w:p>
    <w:p>
      <w:pPr>
        <w:spacing w:after="160" w:line="276"/>
        <w:jc w:val="both"/>
      </w:pPr>
      <w:r>
        <w:rPr>
          <w:rFonts w:ascii="Arial" w:cs="Arial" w:eastAsia="Arial" w:hAnsi="Arial"/>
          <w:color w:val="333333"/>
          <w:sz w:val="21"/>
          <w:szCs w:val="21"/>
        </w:rPr>
        <w:t xml:space="preserve">Several factors are acknowledged but not explicitly captured in the model: creative execution quality, competitive activity, local store-level marketing, and long-term brand equity effects. The model attributes these effects to the seasonal baseline, which means their contribution is not separately identified.</w:t>
      </w:r>
    </w:p>
    <w:p>
      <w:pPr>
        <w:spacing w:after="120" w:before="200"/>
      </w:pPr>
      <w:r>
        <w:rPr>
          <w:rFonts w:ascii="Arial" w:cs="Arial" w:eastAsia="Arial" w:hAnsi="Arial"/>
          <w:b/>
          <w:bCs/>
          <w:color w:val="333333"/>
          <w:sz w:val="22"/>
          <w:szCs w:val="22"/>
        </w:rPr>
        <w:t xml:space="preserve">Geographic Aggregation</w:t>
      </w:r>
    </w:p>
    <w:p>
      <w:pPr>
        <w:spacing w:after="160" w:line="276"/>
        <w:jc w:val="both"/>
      </w:pPr>
      <w:r>
        <w:rPr>
          <w:rFonts w:ascii="Arial" w:cs="Arial" w:eastAsia="Arial" w:hAnsi="Arial"/>
          <w:color w:val="333333"/>
          <w:sz w:val="21"/>
          <w:szCs w:val="21"/>
        </w:rPr>
        <w:t xml:space="preserve">The model uses a single province-wide weather point for 42 stores across Quebec. Regional weather variation is not captured, which may reduce the precision of weather as a control variable. A production model could use store-level or regional weather data for greater accuracy.</w:t>
      </w:r>
    </w:p>
    <w:p>
      <w:pPr>
        <w:pStyle w:val="Heading2"/>
        <w:spacing w:after="160" w:before="280"/>
      </w:pPr>
      <w:r>
        <w:rPr>
          <w:rFonts w:ascii="Arial" w:cs="Arial" w:eastAsia="Arial" w:hAnsi="Arial"/>
          <w:b/>
          <w:bCs/>
          <w:color w:val="1F4E79"/>
          <w:sz w:val="24"/>
          <w:szCs w:val="24"/>
        </w:rPr>
        <w:t xml:space="preserve">9.2 Production Roadmap</w:t>
      </w:r>
    </w:p>
    <w:p>
      <w:pPr>
        <w:spacing w:after="160" w:line="276"/>
        <w:jc w:val="both"/>
      </w:pPr>
      <w:r>
        <w:rPr>
          <w:rFonts w:ascii="Arial" w:cs="Arial" w:eastAsia="Arial" w:hAnsi="Arial"/>
          <w:color w:val="333333"/>
          <w:sz w:val="21"/>
          <w:szCs w:val="21"/>
        </w:rPr>
        <w:t xml:space="preserve">The following enhancements would move this POC toward a production-grade model, listed in order of priority.</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Weekly granularity</w:t>
      </w:r>
      <w:r>
        <w:rPr>
          <w:rFonts w:ascii="Arial" w:cs="Arial" w:eastAsia="Arial" w:hAnsi="Arial"/>
          <w:color w:val="333333"/>
          <w:sz w:val="21"/>
          <w:szCs w:val="21"/>
        </w:rPr>
        <w:t xml:space="preserve">: Disaggregate to weekly data (156 observations) to improve parameter precision and enable the model to estimate decay rates directly from data.</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Interaction terms</w:t>
      </w:r>
      <w:r>
        <w:rPr>
          <w:rFonts w:ascii="Arial" w:cs="Arial" w:eastAsia="Arial" w:hAnsi="Arial"/>
          <w:color w:val="333333"/>
          <w:sz w:val="21"/>
          <w:szCs w:val="21"/>
        </w:rPr>
        <w:t xml:space="preserve">: Add cross-channel interaction terms (e.g., Television × Preroll) to capture documented synergy effects.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Regional modeling</w:t>
      </w:r>
      <w:r>
        <w:rPr>
          <w:rFonts w:ascii="Arial" w:cs="Arial" w:eastAsia="Arial" w:hAnsi="Arial"/>
          <w:color w:val="333333"/>
          <w:sz w:val="21"/>
          <w:szCs w:val="21"/>
        </w:rPr>
        <w:t xml:space="preserve">: Incorporate regional or store-cluster weather data and media weights for geographic precision.</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Additional data year</w:t>
      </w:r>
      <w:r>
        <w:rPr>
          <w:rFonts w:ascii="Arial" w:cs="Arial" w:eastAsia="Arial" w:hAnsi="Arial"/>
          <w:color w:val="333333"/>
          <w:sz w:val="21"/>
          <w:szCs w:val="21"/>
        </w:rPr>
        <w:t xml:space="preserve">: Each new fiscal year adds 12 observations (monthly) or 52 (weekly), compounding the model’s statistical power.</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Business calendar</w:t>
      </w:r>
      <w:r>
        <w:rPr>
          <w:rFonts w:ascii="Arial" w:cs="Arial" w:eastAsia="Arial" w:hAnsi="Arial"/>
          <w:color w:val="333333"/>
          <w:sz w:val="21"/>
          <w:szCs w:val="21"/>
        </w:rPr>
        <w:t xml:space="preserve">: Integrate promotional events, holidays, and competitor activity as explicit model features.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Dashboard integration</w:t>
      </w:r>
      <w:r>
        <w:rPr>
          <w:rFonts w:ascii="Arial" w:cs="Arial" w:eastAsia="Arial" w:hAnsi="Arial"/>
          <w:color w:val="333333"/>
          <w:sz w:val="21"/>
          <w:szCs w:val="21"/>
        </w:rPr>
        <w:t xml:space="preserve">: Build an interactive reporting layer that allows the marketing team to run allocation scenarios in real time.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6"/>
              <w:bottom w:val="single" w:color="1F4E79" w:sz="2"/>
              <w:right w:val="single" w:color="1F4E79" w:sz="2"/>
            </w:tcBorders>
            <w:shd w:fill="EBF5FB" w:val="clear"/>
            <w:tcMar>
              <w:top w:type="dxa" w:w="100"/>
              <w:left w:type="dxa" w:w="160"/>
              <w:bottom w:type="dxa" w:w="100"/>
              <w:right w:type="dxa" w:w="160"/>
            </w:tcMar>
          </w:tcPr>
          <w:p>
            <w:pPr>
              <w:spacing w:after="80"/>
            </w:pPr>
            <w:r>
              <w:rPr>
                <w:rFonts w:ascii="Arial" w:cs="Arial" w:eastAsia="Arial" w:hAnsi="Arial"/>
                <w:b/>
                <w:bCs/>
                <w:color w:val="1F4E79"/>
                <w:sz w:val="20"/>
                <w:szCs w:val="20"/>
              </w:rPr>
              <w:t xml:space="preserve">Production Priorities</w:t>
            </w:r>
          </w:p>
          <w:p>
            <w:pPr>
              <w:spacing w:after="0"/>
            </w:pPr>
            <w:r>
              <w:rPr>
                <w:rFonts w:ascii="Arial" w:cs="Arial" w:eastAsia="Arial" w:hAnsi="Arial"/>
                <w:color w:val="333333"/>
                <w:sz w:val="20"/>
                <w:szCs w:val="20"/>
              </w:rPr>
              <w:t xml:space="preserve">Which of the above enhancements would be most valuable for your team’s decision-making? Are there additional data sources or business requirements that should be considered in scoping a production implementation?</w:t>
            </w:r>
          </w:p>
        </w:tc>
      </w:tr>
    </w:tbl>
    <w:p>
      <w:pPr>
        <w:spacing w:after="80"/>
      </w:pPr>
    </w:p>
    <w:p>
      <w:pPr>
        <w:pStyle w:val="Heading1"/>
        <w:spacing w:after="200" w:before="360"/>
      </w:pPr>
      <w:r>
        <w:rPr>
          <w:rFonts w:ascii="Arial" w:cs="Arial" w:eastAsia="Arial" w:hAnsi="Arial"/>
          <w:b/>
          <w:bCs/>
          <w:color w:val="1F4E79"/>
          <w:sz w:val="28"/>
          <w:szCs w:val="28"/>
        </w:rPr>
        <w:t xml:space="preserve">10. Glossary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Term</w:t>
            </w:r>
          </w:p>
        </w:tc>
        <w:tc>
          <w:tcPr>
            <w:tcW w:type="dxa" w:w="6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Definition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MMM</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Marketing Mix Model. A statistical model that measures the impact of marketing activities on business outcomes.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Adstock</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A transformation that models the carryover effect of advertising over time using geometric decay.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Saturation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A transformation that models diminishing returns as spend increases on a given channel.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ROAS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Return on Ad Spend. Revenue generated per dollar (or per $1,000) of media investment.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R-squared (R²)</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A measure of how much variation in revenue the model explains, from 0 (none) to 1 (all).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Ridge Regression</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A regularized regression method that produces stable estimates when predictors are correlated.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Two-Stage Model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An architecture that first estimates seasonal effects, then measures media contribution on the residual.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Bootstrap</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A resampling technique used to estimate the range of plausible values for model parameters.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Bayesian Model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An alternative modeling approach that jointly estimates all parameters using prior knowledge and observed data.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19"/>
                <w:szCs w:val="19"/>
              </w:rPr>
              <w:t xml:space="preserve">Fourier Terms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333333"/>
                <w:sz w:val="19"/>
                <w:szCs w:val="19"/>
              </w:rPr>
              <w:t xml:space="preserve">Mathematical functions (sine/cosine) used to model smooth seasonal patterns.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9"/>
                <w:szCs w:val="19"/>
              </w:rPr>
              <w:t xml:space="preserve">Non-Negative Constraint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9"/>
                <w:szCs w:val="19"/>
              </w:rPr>
              <w:t xml:space="preserve">A requirement that all media coefficients are zero or positive (advertising cannot reduce sales).</w:t>
            </w:r>
          </w:p>
        </w:tc>
      </w:tr>
    </w:tbl>
    <w:p>
      <w:pPr>
        <w:spacing w:after="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1" w:space="4"/>
      </w:pBdr>
      <w:jc w:val="center"/>
    </w:pPr>
    <w:r>
      <w:rPr>
        <w:rFonts w:ascii="Arial" w:cs="Arial" w:eastAsia="Arial" w:hAnsi="Arial"/>
        <w:color w:val="666666"/>
        <w:sz w:val="16"/>
        <w:szCs w:val="16"/>
      </w:rPr>
      <w:t xml:space="preserve">Compass Data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 w:space="4"/>
      </w:pBdr>
      <w:tabs>
        <w:tab w:val="right" w:pos="9026"/>
      </w:tabs>
    </w:pPr>
    <w:r>
      <w:rPr>
        <w:rFonts w:ascii="Arial" w:cs="Arial" w:eastAsia="Arial" w:hAnsi="Arial"/>
        <w:color w:val="666666"/>
        <w:sz w:val="16"/>
        <w:szCs w:val="16"/>
      </w:rPr>
      <w:t xml:space="preserve">Club Piscine MMM</w:t>
    </w:r>
    <w:r>
      <w:rPr>
        <w:rFonts w:ascii="Arial" w:cs="Arial" w:eastAsia="Arial" w:hAnsi="Arial"/>
        <w:color w:val="666666"/>
        <w:sz w:val="16"/>
        <w:szCs w:val="16"/>
      </w:rPr>
      <w:t xml:space="preserve">	Methodology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2026-03-07T20:17:17.034Z</dcterms:created>
  <dcterms:modified xsi:type="dcterms:W3CDTF">2026-03-07T20:17:17.034Z</dcterms:modified>
</cp:coreProperties>
</file>

<file path=docProps/custom.xml><?xml version="1.0" encoding="utf-8"?>
<Properties xmlns="http://schemas.openxmlformats.org/officeDocument/2006/custom-properties" xmlns:vt="http://schemas.openxmlformats.org/officeDocument/2006/docPropsVTypes"/>
</file>