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FEASIBILITY PLAN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Ariyanto Sani-1772046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Avinash-1772030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Joshua-1772013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Zaldy Auw-1772031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Roy Parsaoran-1772044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Products and Services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 E-learning untuk penderita disabilitas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Biaya: 100 Juta Rupiah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 ini akan membantu user dalam bentuk visual dan audio yang khusus, untuk dapat mudah dipahami oleh orang yang mempunyai keterbatasan fisik.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 ini diiklankan dan dapat diakses melalui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www.KitaBisa.com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Target Market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Penyandang disabilitas di segala umur yang ingin mencari ilmu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Competitor:Untuk saat ini tidak ada yang menyediakan layanan berbasis website E-learning bagi orang penderita disabilitas di Indonesia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Kebutuhan dan Permintaan: banyaknya penderita disabilitas yang ingin belajar layaknya seorang warga Indonesia yang normal tapi tidak adanya ketersediaan fasilitas untuk orang disabilitas untuk belajar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Resiko: Peminat yang lebih sedikit dari perkiraan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Strategi Pemasaran:mengiklankan website di youtube,facebook atau media sosial yang lainnya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Operations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Proyek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Ariyanto Sani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Avinash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Joshua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Zaldy Auw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Roy Parsaoran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Jabatan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</w:t>
        <w:tab/>
        <w:t xml:space="preserve">: Joshua Suherlan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</w:t>
        <w:tab/>
        <w:tab/>
        <w:t xml:space="preserve">: Avinash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</w:t>
        <w:tab/>
        <w:tab/>
        <w:t xml:space="preserve">: Roy Parsaoran, Ariyanto Sani, Zaldy Auw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Growth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Visualisasi khusus untuk orang yang buta warna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Subtitle untuk yang tidak bisa dengar(tunarungu)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dapat memasukan pertanyaan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Pengajaran yang bersifat spesifik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Finances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Budget: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spacing w:line="266.4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Budget Awal=129.000.000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9"/>
        </w:numPr>
        <w:spacing w:before="186" w:line="266.4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Biaya Hosting Jangka Panjang =  10.000.000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spacing w:before="186" w:line="266.4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Gaji Programmer 5X11.000.000=55.000.000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9"/>
        </w:numPr>
        <w:spacing w:after="0" w:afterAutospacing="0" w:before="186" w:line="266.4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Biaya sewa studio 5x5.000.000=25.000.000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9"/>
        </w:numPr>
        <w:spacing w:before="0" w:beforeAutospacing="0" w:line="266.4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Gaji Scrum Master/Project Manager = 20.000.000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9"/>
        </w:numPr>
        <w:spacing w:before="186" w:line="266.4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Biaya testing software =2.000.000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9"/>
        </w:numPr>
        <w:spacing w:before="186" w:line="266.4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Biaya tidak terduga =17.000.000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itasbis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