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739E45"/>
          <w:sz w:val="18"/>
        </w:rPr>
        <w:t>LABEL IMPOSITION / OUTPUT STRUCTURE</w:t>
      </w:r>
    </w:p>
    <w:p>
      <w:pPr>
        <w:spacing w:after="80"/>
      </w:pPr>
      <w:r>
        <w:rPr>
          <w:rFonts w:ascii="Microsoft YaHei" w:hAnsi="Microsoft YaHei" w:eastAsia="微软雅黑"/>
          <w:b/>
          <w:color w:val="1E2926"/>
          <w:sz w:val="42"/>
        </w:rPr>
        <w:t>标签排版说明｜演示输出结构</w:t>
      </w:r>
    </w:p>
    <w:p>
      <w:pPr>
        <w:spacing w:after="200"/>
      </w:pPr>
      <w:r>
        <w:rPr>
          <w:rFonts w:ascii="Microsoft YaHei" w:hAnsi="Microsoft YaHei" w:eastAsia="微软雅黑"/>
          <w:color w:val="505C57"/>
          <w:sz w:val="21"/>
        </w:rPr>
        <w:t>由 24 条虚构订单构建，用于说明员工执行与负责人复核时应看到的信息层级。</w:t>
      </w:r>
    </w:p>
    <w:p>
      <w:pPr>
        <w:spacing w:before="40" w:after="120" w:line="276" w:lineRule="auto"/>
        <w:ind w:left="115" w:right="115"/>
        <w:shd w:fill="EFF6E7"/>
      </w:pPr>
      <w:r>
        <w:rPr>
          <w:rFonts w:ascii="Microsoft YaHei" w:hAnsi="Microsoft YaHei" w:eastAsia="微软雅黑"/>
          <w:b/>
          <w:color w:val="486A2E"/>
          <w:sz w:val="18"/>
        </w:rPr>
        <w:t>真实性边界：订单号、SKU、品名、数量、材料和成本均为虚构演示值。本文件是网站展示结构样例，并非软件真实导出或客户项目证明。</w:t>
      </w:r>
    </w:p>
    <w:p>
      <w:pPr>
        <w:pStyle w:val="Heading1"/>
      </w:pPr>
      <w:r>
        <w:t>1. 任务摘要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520"/>
        <w:gridCol w:w="2232"/>
        <w:gridCol w:w="2736"/>
      </w:tblGrid>
      <w:tr>
        <w:trPr>
          <w:tblHeader w:val="true"/>
        </w:trPr>
        <w:tc>
          <w:tcPr>
            <w:tcW w:type="dxa" w:w="2232"/>
            <w:shd w:fill="486A2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订单款数</w:t>
            </w:r>
          </w:p>
        </w:tc>
        <w:tc>
          <w:tcPr>
            <w:tcW w:type="dxa" w:w="2520"/>
            <w:shd w:fill="486A2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总需求数量</w:t>
            </w:r>
          </w:p>
        </w:tc>
        <w:tc>
          <w:tcPr>
            <w:tcW w:type="dxa" w:w="2232"/>
            <w:shd w:fill="486A2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尺寸组</w:t>
            </w:r>
          </w:p>
        </w:tc>
        <w:tc>
          <w:tcPr>
            <w:tcW w:type="dxa" w:w="2736"/>
            <w:shd w:fill="486A2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统一冗余率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1E2926"/>
                <w:sz w:val="22"/>
              </w:rPr>
              <w:t>24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1E2926"/>
                <w:sz w:val="22"/>
              </w:rPr>
              <w:t>30,275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1E2926"/>
                <w:sz w:val="22"/>
              </w:rPr>
              <w:t>3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1E2926"/>
                <w:sz w:val="22"/>
              </w:rPr>
              <w:t>5%</w:t>
            </w:r>
          </w:p>
        </w:tc>
      </w:tr>
    </w:tbl>
    <w:p>
      <w:pPr>
        <w:pStyle w:val="Heading1"/>
      </w:pPr>
      <w:r>
        <w:t>2. 尺寸组计划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008"/>
        <w:gridCol w:w="1800"/>
        <w:gridCol w:w="1440"/>
        <w:gridCol w:w="1944"/>
        <w:gridCol w:w="1440"/>
      </w:tblGrid>
      <w:tr>
        <w:trPr>
          <w:tblHeader w:val="true"/>
        </w:trPr>
        <w:tc>
          <w:tcPr>
            <w:tcW w:type="dxa" w:w="1584"/>
            <w:shd w:fill="739E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尺寸 mm</w:t>
            </w:r>
          </w:p>
        </w:tc>
        <w:tc>
          <w:tcPr>
            <w:tcW w:type="dxa" w:w="1008"/>
            <w:shd w:fill="739E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款数</w:t>
            </w:r>
          </w:p>
        </w:tc>
        <w:tc>
          <w:tcPr>
            <w:tcW w:type="dxa" w:w="1800"/>
            <w:shd w:fill="739E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需求数量</w:t>
            </w:r>
          </w:p>
        </w:tc>
        <w:tc>
          <w:tcPr>
            <w:tcW w:type="dxa" w:w="1440"/>
            <w:shd w:fill="739E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版面容量</w:t>
            </w:r>
          </w:p>
        </w:tc>
        <w:tc>
          <w:tcPr>
            <w:tcW w:type="dxa" w:w="1944"/>
            <w:shd w:fill="739E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1440"/>
            <w:shd w:fill="739E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复核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60x40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8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11,300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48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铜版纸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PASS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80x50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8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10,415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30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合成纸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PASS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100x70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8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8,560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20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18"/>
              </w:rPr>
              <w:t>哑银 PET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PASS</w:t>
            </w:r>
          </w:p>
        </w:tc>
      </w:tr>
    </w:tbl>
    <w:p>
      <w:pPr>
        <w:pStyle w:val="Heading1"/>
      </w:pPr>
      <w:r>
        <w:t>3. 执行与复核顺序</w:t>
      </w:r>
    </w:p>
    <w:p>
      <w:pPr>
        <w:pStyle w:val="ListNumber"/>
        <w:spacing w:after="40"/>
        <w:ind w:left="547" w:hanging="274"/>
      </w:pPr>
      <w:r>
        <w:rPr>
          <w:rFonts w:ascii="Microsoft YaHei" w:hAnsi="Microsoft YaHei" w:eastAsia="微软雅黑"/>
          <w:sz w:val="19"/>
        </w:rPr>
        <w:t>导入本包的复杂脱敏演示订单工作簿，并确认 24 条订单全部读取。</w:t>
      </w:r>
    </w:p>
    <w:p>
      <w:pPr>
        <w:pStyle w:val="ListNumber"/>
        <w:spacing w:after="40"/>
        <w:ind w:left="547" w:hanging="274"/>
      </w:pPr>
      <w:r>
        <w:rPr>
          <w:rFonts w:ascii="Microsoft YaHei" w:hAnsi="Microsoft YaHei" w:eastAsia="微软雅黑"/>
          <w:sz w:val="19"/>
        </w:rPr>
        <w:t>按成品尺寸分组，核对每组版面容量、材料与统一 5% 冗余率。</w:t>
      </w:r>
    </w:p>
    <w:p>
      <w:pPr>
        <w:pStyle w:val="ListNumber"/>
        <w:spacing w:after="40"/>
        <w:ind w:left="547" w:hanging="274"/>
      </w:pPr>
      <w:r>
        <w:rPr>
          <w:rFonts w:ascii="Microsoft YaHei" w:hAnsi="Microsoft YaHei" w:eastAsia="微软雅黑"/>
          <w:sz w:val="19"/>
        </w:rPr>
        <w:t>查看排版计算明细中的冗余后数量、计划印张、计划产能与余量。</w:t>
      </w:r>
    </w:p>
    <w:p>
      <w:pPr>
        <w:pStyle w:val="ListNumber"/>
        <w:spacing w:after="40"/>
        <w:ind w:left="547" w:hanging="274"/>
      </w:pPr>
      <w:r>
        <w:rPr>
          <w:rFonts w:ascii="Microsoft YaHei" w:hAnsi="Microsoft YaHei" w:eastAsia="微软雅黑"/>
          <w:sz w:val="19"/>
        </w:rPr>
        <w:t>负责人复核成本列仅作为结构示例，不据此报价；异常状态保留为 CHECK，本示例结构检查均为 PASS。</w:t>
      </w:r>
    </w:p>
    <w:p>
      <w:pPr>
        <w:pStyle w:val="Heading1"/>
      </w:pPr>
      <w:r>
        <w:t>4. 配套文件</w:t>
      </w:r>
    </w:p>
    <w:p>
      <w:pPr>
        <w:spacing w:after="40"/>
      </w:pPr>
      <w:r>
        <w:rPr>
          <w:rFonts w:ascii="Microsoft YaHei" w:hAnsi="Microsoft YaHei" w:eastAsia="微软雅黑"/>
          <w:sz w:val="19"/>
        </w:rPr>
        <w:t>输入工作簿用于订单与公式汇总；排版计算明细用于计划、成本与余量复核；订单清单、manifest 和 SHA256SUMS 用于机器读取与完整性检查。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64706B"/>
        <w:sz w:val="16"/>
      </w:rPr>
      <w:t>SYNTHETIC DEMO｜不含真实客户数据｜不代表软件实跑结果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微软雅黑"/>
        <w:color w:val="64706B"/>
        <w:sz w:val="17"/>
      </w:rPr>
      <w:t>方寸标签排版｜公开合成演示数据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86A2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86A2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49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标签排版说明｜演示输出结构</dc:title>
  <dc:subject>公开合成脱敏演示数据</dc:subject>
  <dc:creator>方寸有序工作室</dc:creator>
  <cp:keywords>SYNTHETIC DEMO, 标签排版, 脱敏展示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