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bookmarkStart w:id="0" w:name="_Toc5986436"/>
      <w:r>
        <w:rPr>
          <w:rFonts w:hint="eastAsia"/>
        </w:rPr>
        <w:t>综合决策展示系统</w:t>
      </w:r>
      <w:bookmarkEnd w:id="0"/>
    </w:p>
    <w:p>
      <w:pPr>
        <w:pStyle w:val="13"/>
      </w:pPr>
      <w:r>
        <w:rPr>
          <w:rFonts w:hint="eastAsia"/>
        </w:rPr>
        <w:t>目前锦屏正在大力建设“</w:t>
      </w:r>
      <w:bookmarkStart w:id="1" w:name="OLE_LINK1"/>
      <w:bookmarkStart w:id="2" w:name="OLE_LINK2"/>
      <w:r>
        <w:rPr>
          <w:rFonts w:hint="eastAsia"/>
        </w:rPr>
        <w:t>数字锦屏</w:t>
      </w:r>
      <w:bookmarkEnd w:id="1"/>
      <w:bookmarkEnd w:id="2"/>
      <w:r>
        <w:rPr>
          <w:rFonts w:hint="eastAsia"/>
        </w:rPr>
        <w:t>”，将锦屏林业信息化建设纳入“数字锦屏”建设体系。建立</w:t>
      </w:r>
      <w:r>
        <w:t>锦屏县</w:t>
      </w:r>
      <w:r>
        <w:rPr>
          <w:rFonts w:hint="eastAsia"/>
        </w:rPr>
        <w:t>森林</w:t>
      </w:r>
      <w:r>
        <w:t>资源可视化</w:t>
      </w:r>
      <w:r>
        <w:rPr>
          <w:rFonts w:hint="eastAsia"/>
        </w:rPr>
        <w:t>管理</w:t>
      </w:r>
      <w:r>
        <w:t>系统，展示全县森林资源状况，</w:t>
      </w:r>
      <w:r>
        <w:rPr>
          <w:rFonts w:hint="eastAsia"/>
        </w:rPr>
        <w:t>直观</w:t>
      </w:r>
      <w:r>
        <w:t>看到森林资源的</w:t>
      </w:r>
      <w:r>
        <w:rPr>
          <w:rFonts w:hint="eastAsia"/>
        </w:rPr>
        <w:t>变化；</w:t>
      </w:r>
      <w:r>
        <w:t>能快速定位小班，查询小班情况；</w:t>
      </w:r>
      <w:r>
        <w:rPr>
          <w:rFonts w:hint="eastAsia"/>
        </w:rPr>
        <w:t>能360度</w:t>
      </w:r>
      <w:r>
        <w:t>观赏重点古树名木。</w:t>
      </w:r>
      <w:r>
        <w:rPr>
          <w:rFonts w:hint="eastAsia"/>
        </w:rPr>
        <w:t>将</w:t>
      </w:r>
      <w:r>
        <w:t>遥感林地分类数据</w:t>
      </w:r>
      <w:r>
        <w:rPr>
          <w:rFonts w:hint="eastAsia"/>
        </w:rPr>
        <w:t>及</w:t>
      </w:r>
      <w:r>
        <w:t>多年度森林资源调查数据为基础，利用三维渲染技术，将森林资源数据以形象、直观的形式进行展示。系统</w:t>
      </w:r>
      <w:r>
        <w:rPr>
          <w:rFonts w:hint="eastAsia"/>
        </w:rPr>
        <w:t>能够</w:t>
      </w:r>
      <w:r>
        <w:t>利用飞行技术，了解锦屏县的山川、林地。</w:t>
      </w:r>
    </w:p>
    <w:p>
      <w:pPr>
        <w:pStyle w:val="14"/>
      </w:pPr>
      <w:r>
        <w:rPr>
          <w:rFonts w:hint="eastAsia"/>
        </w:rPr>
        <w:t>城市运行信息综合展示</w:t>
      </w:r>
    </w:p>
    <w:p>
      <w:pPr>
        <w:pStyle w:val="13"/>
      </w:pPr>
      <w:r>
        <w:rPr>
          <w:rFonts w:hint="eastAsia"/>
        </w:rPr>
        <w:t>通过数字锦屏城市大脑的综合展示平台，向政府及林业部门的主要领导及用户，提供移动终端与</w:t>
      </w:r>
      <w:r>
        <w:t>LED大屏幕等终端，综合展示数字林业核心主题及领导决策者关心的主题设计，展现数字林业主题画像，包含面向不同使用者和不同操作终端的个性化展示与交互子系统。</w:t>
      </w:r>
    </w:p>
    <w:p>
      <w:pPr>
        <w:pStyle w:val="13"/>
      </w:pPr>
      <w:r>
        <w:t>1、数字林业展示纳入数字锦屏中的数据应用管理模块，在公众信息平台整合展现林业领导和群众关注的信息，系统整合城市运营管理智能协同功能，为林业业务和系统管理人员提供管理、维护的操作门户；</w:t>
      </w:r>
    </w:p>
    <w:p>
      <w:pPr>
        <w:pStyle w:val="13"/>
      </w:pPr>
      <w:r>
        <w:t>2、数字林业展示纳入数字锦屏中的移动终端展示管理模块：基于移动终端的交互特性，针对适合在移动终</w:t>
      </w:r>
      <w:r>
        <w:rPr>
          <w:rFonts w:hint="eastAsia"/>
        </w:rPr>
        <w:t>端上使用的功能，提供符合移动终端操作习惯的林业数据交互界面；</w:t>
      </w:r>
    </w:p>
    <w:p>
      <w:pPr>
        <w:pStyle w:val="13"/>
      </w:pPr>
      <w:r>
        <w:t>3、数字林业展示纳入数字锦屏中的LED大屏幕展示管理模块：实现在日常监控、参观接待中作为直观的信息展示墙使用；</w:t>
      </w:r>
    </w:p>
    <w:p>
      <w:pPr>
        <w:pStyle w:val="13"/>
      </w:pPr>
      <w:r>
        <w:t>4、数字林业展示主题的定制开发。</w:t>
      </w:r>
    </w:p>
    <w:p>
      <w:pPr>
        <w:pStyle w:val="14"/>
      </w:pPr>
      <w:r>
        <w:rPr>
          <w:rFonts w:hint="eastAsia"/>
        </w:rPr>
        <w:t>城市</w:t>
      </w:r>
      <w:r>
        <w:t>运营管理智能协同</w:t>
      </w:r>
    </w:p>
    <w:p>
      <w:pPr>
        <w:pStyle w:val="13"/>
      </w:pPr>
      <w:r>
        <w:rPr>
          <w:rFonts w:hint="eastAsia"/>
        </w:rPr>
        <w:t>提供视频监控、部分传感终端与林业业务系统的智能协同，实现城市运行管理事件从发现告警到协同林业业务系统完成处理的全过程管理与控制。针对数字林业在数字锦屏建设中的主题设计，在协同事件触发时，按照协同主题自动调取协同处理事件主题实现实时调度与展示，形成“事件驱动、规则判断、联动处理、流程监管”的智能协同体系。</w:t>
      </w:r>
    </w:p>
    <w:p>
      <w:pPr>
        <w:pStyle w:val="13"/>
      </w:pPr>
      <w:r>
        <w:t>1、智能协同管理模块：管理与控制各重点领导和事件，依据规则自动选择相应的处理流程,并实现实时调度与展示；</w:t>
      </w:r>
    </w:p>
    <w:p>
      <w:pPr>
        <w:pStyle w:val="13"/>
      </w:pPr>
      <w:r>
        <w:t>2、协同展示主题</w:t>
      </w:r>
      <w:r>
        <w:rPr>
          <w:rFonts w:hint="eastAsia"/>
        </w:rPr>
        <w:t>。</w:t>
      </w:r>
    </w:p>
    <w:p>
      <w:pPr>
        <w:pStyle w:val="14"/>
      </w:pPr>
      <w:r>
        <w:rPr>
          <w:rFonts w:hint="eastAsia"/>
        </w:rPr>
        <w:t>城市</w:t>
      </w:r>
      <w:r>
        <w:t>运营管理智能决策</w:t>
      </w:r>
    </w:p>
    <w:p>
      <w:pPr>
        <w:pStyle w:val="13"/>
      </w:pPr>
      <w:r>
        <w:rPr>
          <w:rFonts w:hint="eastAsia"/>
        </w:rPr>
        <w:t>对城市运行历史数据的全面整合，建立城市运营管理分析决策模型，分析、挖掘城市运营管理领域的内在规律、发展趋势和问题</w:t>
      </w:r>
      <w:r>
        <w:t>,依据规则自动展示方案供领导层参考，并实现实时调度与展示，为智慧城市运营管理决策提供及时迅速的支持。</w:t>
      </w:r>
    </w:p>
    <w:p>
      <w:pPr>
        <w:pStyle w:val="13"/>
      </w:pPr>
      <w:r>
        <w:t>1、智慧决策管理：管理某一类需要进行智能决策的事件给自动生成方案，在需要进行决策与判断时，管理决策规则自动生成方案供领导层参考，例如经济运行、重点关注事件等；</w:t>
      </w:r>
    </w:p>
    <w:p>
      <w:pPr>
        <w:pStyle w:val="13"/>
        <w:rPr>
          <w:rFonts w:hint="eastAsia"/>
        </w:rPr>
      </w:pPr>
      <w:r>
        <w:t>2、展示主题</w:t>
      </w:r>
      <w:r>
        <w:rPr>
          <w:rFonts w:hint="eastAsia"/>
        </w:rPr>
        <w:t>。</w:t>
      </w:r>
    </w:p>
    <w:p>
      <w:pPr>
        <w:pStyle w:val="13"/>
        <w:rPr>
          <w:rFonts w:hint="eastAsia"/>
        </w:rPr>
      </w:pPr>
    </w:p>
    <w:p>
      <w:pPr>
        <w:pStyle w:val="14"/>
      </w:pPr>
      <w:r>
        <w:rPr>
          <w:rFonts w:hint="eastAsia"/>
        </w:rPr>
        <w:t>综合</w:t>
      </w:r>
      <w:r>
        <w:t>集成管理系统</w:t>
      </w:r>
    </w:p>
    <w:p>
      <w:pPr>
        <w:pStyle w:val="13"/>
      </w:pPr>
      <w:r>
        <w:rPr>
          <w:rFonts w:hint="eastAsia"/>
        </w:rPr>
        <w:t>应用集成层建设综合集成管理系统，提供数据集成、服务集成、统一管理、统一调度、接口配置等功能。</w:t>
      </w:r>
    </w:p>
    <w:p>
      <w:pPr>
        <w:pStyle w:val="13"/>
      </w:pPr>
      <w:r>
        <w:t>1、服务管理与集成：提供服务的分配、接入、协议适配与转换，担当各个业务系统间的服务集成，配合服务总线使用，降低系统间交互的复杂性；</w:t>
      </w:r>
    </w:p>
    <w:p>
      <w:pPr>
        <w:pStyle w:val="13"/>
      </w:pPr>
      <w:r>
        <w:t>2、数据管理与集成：提供元数据管理、数据整合等基础数据管理功能，并为上层应用和外部系统提供数据共享服务，为各业务系统数据的管控、共享和应用提供支撑；流程管理与集成，提供流程定义、执行和监控功能，为应用内部和跨应用的流程协同提供支撑。</w:t>
      </w:r>
    </w:p>
    <w:p>
      <w:pPr>
        <w:pStyle w:val="14"/>
      </w:pPr>
      <w:r>
        <w:rPr>
          <w:rFonts w:hint="eastAsia"/>
        </w:rPr>
        <w:t>数字</w:t>
      </w:r>
      <w:r>
        <w:t>林业运行主题</w:t>
      </w:r>
    </w:p>
    <w:p>
      <w:pPr>
        <w:pStyle w:val="13"/>
        <w:rPr>
          <w:rFonts w:hint="eastAsia"/>
        </w:rPr>
      </w:pPr>
      <w:r>
        <w:rPr>
          <w:rFonts w:hint="eastAsia"/>
        </w:rPr>
        <w:t>数字林业运行主题设计和展</w:t>
      </w:r>
      <w:bookmarkStart w:id="3" w:name="_GoBack"/>
      <w:bookmarkEnd w:id="3"/>
      <w:r>
        <w:rPr>
          <w:rFonts w:hint="eastAsia"/>
        </w:rPr>
        <w:t>示开发。</w:t>
      </w:r>
    </w:p>
    <w:p>
      <w:pPr>
        <w:pStyle w:val="13"/>
        <w:rPr>
          <w:rFonts w:hint="eastAsia"/>
        </w:rPr>
      </w:pPr>
    </w:p>
    <w:p>
      <w:pPr>
        <w:pStyle w:val="13"/>
        <w:rPr>
          <w:rFonts w:hint="eastAsia"/>
        </w:rPr>
      </w:pPr>
    </w:p>
    <w:p>
      <w:pPr>
        <w:pStyle w:val="13"/>
        <w:rPr>
          <w:rFonts w:hint="eastAsia"/>
        </w:rPr>
      </w:pPr>
    </w:p>
    <w:p>
      <w:pPr>
        <w:pStyle w:val="13"/>
        <w:rPr>
          <w:rFonts w:hint="default"/>
          <w:lang w:val="en-US" w:eastAsia="zh-CN"/>
        </w:rPr>
      </w:pPr>
      <w:r>
        <w:rPr>
          <w:rFonts w:hint="eastAsia"/>
          <w:lang w:val="en-US" w:eastAsia="zh-CN"/>
        </w:rPr>
        <w:t>以下内容是否能做？能做的有哪些？如果做下来的话价格又大概是多少</w:t>
      </w:r>
    </w:p>
    <w:p>
      <w:pPr>
        <w:pStyle w:val="13"/>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
        <w:gridCol w:w="2303"/>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000000"/>
                <w:kern w:val="0"/>
                <w:sz w:val="20"/>
                <w:szCs w:val="24"/>
              </w:rPr>
            </w:pPr>
            <w:r>
              <w:rPr>
                <w:rFonts w:hint="eastAsia" w:eastAsia="宋体" w:cs="宋体"/>
                <w:b/>
                <w:bCs/>
                <w:color w:val="000000"/>
                <w:kern w:val="0"/>
                <w:sz w:val="20"/>
                <w:szCs w:val="24"/>
              </w:rPr>
              <w:t>五</w:t>
            </w:r>
          </w:p>
        </w:tc>
        <w:tc>
          <w:tcPr>
            <w:tcW w:w="2303" w:type="dxa"/>
            <w:shd w:val="clear" w:color="auto" w:fill="auto"/>
            <w:noWrap w:val="0"/>
            <w:vAlign w:val="center"/>
          </w:tcPr>
          <w:p>
            <w:pPr>
              <w:widowControl/>
              <w:spacing w:line="340" w:lineRule="exact"/>
              <w:ind w:firstLine="0"/>
              <w:jc w:val="left"/>
              <w:rPr>
                <w:rFonts w:hint="eastAsia" w:eastAsia="宋体" w:cs="宋体"/>
                <w:b/>
                <w:bCs/>
                <w:color w:val="000000"/>
                <w:kern w:val="0"/>
                <w:sz w:val="20"/>
                <w:szCs w:val="24"/>
              </w:rPr>
            </w:pPr>
            <w:r>
              <w:rPr>
                <w:rFonts w:hint="eastAsia" w:eastAsia="宋体" w:cs="宋体"/>
                <w:b/>
                <w:bCs/>
                <w:color w:val="000000"/>
                <w:kern w:val="0"/>
                <w:sz w:val="20"/>
                <w:szCs w:val="24"/>
              </w:rPr>
              <w:t>数据交换规范建设</w:t>
            </w:r>
          </w:p>
        </w:tc>
        <w:tc>
          <w:tcPr>
            <w:tcW w:w="5305" w:type="dxa"/>
            <w:shd w:val="clear" w:color="auto" w:fill="auto"/>
            <w:noWrap/>
            <w:vAlign w:val="center"/>
          </w:tcPr>
          <w:p>
            <w:pPr>
              <w:pStyle w:val="13"/>
              <w:rPr>
                <w:sz w:val="15"/>
                <w:szCs w:val="15"/>
              </w:rPr>
            </w:pPr>
            <w:r>
              <w:rPr>
                <w:rFonts w:hint="eastAsia" w:eastAsia="宋体" w:cs="宋体"/>
                <w:color w:val="000000"/>
                <w:kern w:val="0"/>
                <w:sz w:val="21"/>
                <w:szCs w:val="28"/>
              </w:rPr>
              <w:t>　</w:t>
            </w:r>
            <w:r>
              <w:rPr>
                <w:rFonts w:hint="eastAsia"/>
                <w:sz w:val="15"/>
                <w:szCs w:val="15"/>
              </w:rPr>
              <w:t>制定智慧林业外网平台接口开发规范，提供给各应用系统开发商遵照执行，开发相应的功能模块，以保证与共享服务平台及应用软件数据共享、业务协同、互联互通。</w:t>
            </w:r>
          </w:p>
          <w:p>
            <w:pPr>
              <w:widowControl/>
              <w:spacing w:line="340" w:lineRule="exact"/>
              <w:ind w:firstLine="0"/>
              <w:jc w:val="left"/>
              <w:rPr>
                <w:rFonts w:hint="eastAsia" w:eastAsia="宋体" w:cs="宋体"/>
                <w:color w:val="000000"/>
                <w:kern w:val="0"/>
                <w:sz w:val="2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color w:val="000000"/>
                <w:kern w:val="0"/>
                <w:sz w:val="20"/>
                <w:szCs w:val="24"/>
              </w:rPr>
            </w:pPr>
            <w:r>
              <w:rPr>
                <w:rFonts w:hint="eastAsia" w:eastAsia="宋体" w:cs="宋体"/>
                <w:color w:val="000000"/>
                <w:kern w:val="0"/>
                <w:sz w:val="20"/>
                <w:szCs w:val="24"/>
              </w:rPr>
              <w:t>1</w:t>
            </w: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接口标准规范</w:t>
            </w:r>
          </w:p>
        </w:tc>
        <w:tc>
          <w:tcPr>
            <w:tcW w:w="5305"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制定数字锦屏和数字林业接口数据标准，提供数据接入技术指导。（1）系统建设管理通用标准规范（2）业务基础信息与管理标准规范；（3）接口开发规范；（4）系统运行维护标准规范。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color w:val="000000"/>
                <w:kern w:val="0"/>
                <w:sz w:val="20"/>
                <w:szCs w:val="24"/>
              </w:rPr>
            </w:pPr>
            <w:r>
              <w:rPr>
                <w:rFonts w:hint="eastAsia" w:eastAsia="宋体" w:cs="宋体"/>
                <w:color w:val="000000"/>
                <w:kern w:val="0"/>
                <w:sz w:val="20"/>
                <w:szCs w:val="24"/>
              </w:rPr>
              <w:t>2</w:t>
            </w: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数据质量管理</w:t>
            </w:r>
          </w:p>
        </w:tc>
        <w:tc>
          <w:tcPr>
            <w:tcW w:w="5305"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数据采集监控、数据流转监控、数据加工监控、数据共享监控、数据服务调度监控、数据入库加载监控、数据血缘管理、数据稽查、问题数据监测、问题数据处理流程问题数据归档、数据质量报告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color w:val="000000"/>
                <w:kern w:val="0"/>
                <w:sz w:val="20"/>
                <w:szCs w:val="24"/>
              </w:rPr>
            </w:pPr>
            <w:r>
              <w:rPr>
                <w:rFonts w:hint="eastAsia" w:eastAsia="宋体" w:cs="宋体"/>
                <w:color w:val="000000"/>
                <w:kern w:val="0"/>
                <w:sz w:val="20"/>
                <w:szCs w:val="24"/>
              </w:rPr>
              <w:t>3</w:t>
            </w: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数据交换及权限定制</w:t>
            </w:r>
          </w:p>
        </w:tc>
        <w:tc>
          <w:tcPr>
            <w:tcW w:w="5305" w:type="dxa"/>
            <w:shd w:val="clear" w:color="auto" w:fill="auto"/>
            <w:noWrap w:val="0"/>
            <w:vAlign w:val="center"/>
          </w:tcPr>
          <w:p>
            <w:pPr>
              <w:widowControl/>
              <w:spacing w:line="340" w:lineRule="exact"/>
              <w:ind w:firstLine="0"/>
              <w:jc w:val="left"/>
              <w:rPr>
                <w:rFonts w:hint="eastAsia" w:eastAsia="宋体" w:cs="宋体"/>
                <w:color w:val="000000"/>
                <w:kern w:val="0"/>
                <w:sz w:val="20"/>
                <w:szCs w:val="24"/>
              </w:rPr>
            </w:pPr>
            <w:r>
              <w:rPr>
                <w:rFonts w:hint="eastAsia" w:eastAsia="宋体" w:cs="宋体"/>
                <w:color w:val="000000"/>
                <w:kern w:val="0"/>
                <w:sz w:val="20"/>
                <w:szCs w:val="24"/>
              </w:rPr>
              <w:t>数据交换和数据权限定制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b/>
                <w:bCs/>
                <w:color w:val="FF0000"/>
                <w:kern w:val="0"/>
                <w:sz w:val="20"/>
                <w:szCs w:val="24"/>
              </w:rPr>
            </w:pPr>
            <w:r>
              <w:rPr>
                <w:rFonts w:hint="eastAsia" w:eastAsia="宋体" w:cs="宋体"/>
                <w:b/>
                <w:bCs/>
                <w:color w:val="000000"/>
                <w:kern w:val="0"/>
                <w:sz w:val="20"/>
                <w:szCs w:val="20"/>
              </w:rPr>
              <w:t>综合</w:t>
            </w:r>
            <w:r>
              <w:rPr>
                <w:rFonts w:eastAsia="宋体" w:cs="宋体"/>
                <w:b/>
                <w:bCs/>
                <w:color w:val="000000"/>
                <w:kern w:val="0"/>
                <w:sz w:val="20"/>
                <w:szCs w:val="20"/>
              </w:rPr>
              <w:t>展示</w:t>
            </w:r>
            <w:r>
              <w:rPr>
                <w:rFonts w:hint="eastAsia" w:eastAsia="宋体" w:cs="宋体"/>
                <w:b/>
                <w:bCs/>
                <w:color w:val="000000"/>
                <w:kern w:val="0"/>
                <w:sz w:val="20"/>
                <w:szCs w:val="20"/>
              </w:rPr>
              <w:t>系统</w:t>
            </w:r>
          </w:p>
        </w:tc>
        <w:tc>
          <w:tcPr>
            <w:tcW w:w="5305" w:type="dxa"/>
            <w:shd w:val="clear" w:color="auto" w:fill="auto"/>
            <w:noWrap/>
            <w:vAlign w:val="center"/>
          </w:tcPr>
          <w:p>
            <w:pPr>
              <w:widowControl/>
              <w:spacing w:line="340" w:lineRule="exact"/>
              <w:ind w:firstLine="0"/>
              <w:jc w:val="left"/>
              <w:rPr>
                <w:rFonts w:hint="eastAsia" w:eastAsia="宋体" w:cs="宋体"/>
                <w:b/>
                <w:bCs/>
                <w:color w:val="FF0000"/>
                <w:kern w:val="0"/>
                <w:sz w:val="2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b/>
                <w:bCs/>
                <w:color w:val="FF0000"/>
                <w:kern w:val="0"/>
                <w:sz w:val="20"/>
                <w:szCs w:val="24"/>
              </w:rPr>
            </w:pPr>
            <w:r>
              <w:rPr>
                <w:rFonts w:hint="eastAsia" w:eastAsia="宋体" w:cs="宋体"/>
                <w:color w:val="000000"/>
                <w:kern w:val="0"/>
                <w:sz w:val="20"/>
                <w:szCs w:val="20"/>
              </w:rPr>
              <w:t>城市运行信息综合展示</w:t>
            </w:r>
          </w:p>
        </w:tc>
        <w:tc>
          <w:tcPr>
            <w:tcW w:w="5305" w:type="dxa"/>
            <w:shd w:val="clear" w:color="auto" w:fill="auto"/>
            <w:noWrap/>
            <w:vAlign w:val="center"/>
          </w:tcPr>
          <w:p>
            <w:pPr>
              <w:widowControl/>
              <w:spacing w:line="340" w:lineRule="exact"/>
              <w:ind w:firstLine="0"/>
              <w:jc w:val="left"/>
              <w:rPr>
                <w:rFonts w:hint="eastAsia" w:eastAsia="宋体" w:cs="宋体"/>
                <w:b/>
                <w:bCs/>
                <w:color w:val="FF0000"/>
                <w:kern w:val="0"/>
                <w:sz w:val="20"/>
                <w:szCs w:val="24"/>
              </w:rPr>
            </w:pPr>
            <w:r>
              <w:rPr>
                <w:rFonts w:hint="eastAsia" w:eastAsia="宋体" w:cs="宋体"/>
                <w:color w:val="000000"/>
                <w:kern w:val="0"/>
                <w:sz w:val="20"/>
                <w:szCs w:val="20"/>
              </w:rPr>
              <w:t>通过数字锦屏城市大脑的综合展示平台，向政府及林业部门的主要领导及用户，提供移动终端与</w:t>
            </w:r>
            <w:r>
              <w:rPr>
                <w:rFonts w:eastAsia="宋体" w:cs="宋体"/>
                <w:color w:val="000000"/>
                <w:kern w:val="0"/>
                <w:sz w:val="20"/>
                <w:szCs w:val="20"/>
              </w:rPr>
              <w:t>LED大屏幕等终端，综合展示数字林业核心主题及领导决策者关心的主题设计，展现数字林业主题画像，包含面向不同使用者和不同操作终端的个性化展示与交互子系统。1、数字林业展示纳入数字锦屏中的数据应用管理模块，在公众信息平台整合展现林业领导和群众关注的信息，系统整合城市运营管理智能协同功能，为林业业务和系统管理人员提供管理、维护的操作门户；2、数字林业展示纳入数字锦屏中的移动终端展示管理模块：基于移动终端的交互特性，针对适合在移动终端上使用的功能，提供符合移动终端操作习惯的林业数据交互界面；3、数字林业展示纳入数字锦屏中的LED大屏幕展示管理模块：实现在日常监控、参观接待中作为直观的信息展示墙使用；4、数字林业展示主题的定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b/>
                <w:bCs/>
                <w:color w:val="FF0000"/>
                <w:kern w:val="0"/>
                <w:sz w:val="20"/>
                <w:szCs w:val="24"/>
              </w:rPr>
            </w:pPr>
            <w:r>
              <w:rPr>
                <w:rFonts w:hint="eastAsia" w:eastAsia="宋体" w:cs="宋体"/>
                <w:color w:val="000000"/>
                <w:kern w:val="0"/>
                <w:sz w:val="20"/>
                <w:szCs w:val="20"/>
              </w:rPr>
              <w:t>城市运营管理智能协同</w:t>
            </w:r>
          </w:p>
        </w:tc>
        <w:tc>
          <w:tcPr>
            <w:tcW w:w="5305" w:type="dxa"/>
            <w:shd w:val="clear" w:color="auto" w:fill="auto"/>
            <w:noWrap/>
            <w:vAlign w:val="center"/>
          </w:tcPr>
          <w:p>
            <w:pPr>
              <w:widowControl/>
              <w:spacing w:line="340" w:lineRule="exact"/>
              <w:ind w:firstLine="0"/>
              <w:jc w:val="left"/>
              <w:rPr>
                <w:rFonts w:hint="eastAsia" w:eastAsia="宋体" w:cs="宋体"/>
                <w:b/>
                <w:bCs/>
                <w:color w:val="FF0000"/>
                <w:kern w:val="0"/>
                <w:sz w:val="20"/>
                <w:szCs w:val="24"/>
              </w:rPr>
            </w:pPr>
            <w:r>
              <w:rPr>
                <w:rFonts w:hint="eastAsia" w:eastAsia="宋体" w:cs="宋体"/>
                <w:color w:val="000000"/>
                <w:kern w:val="0"/>
                <w:sz w:val="20"/>
                <w:szCs w:val="20"/>
              </w:rPr>
              <w:t>提供视频监控、部分传感终端与林业业务系统的智能协同，实现城市运行管理事件从发现告警到协同林业业务系统完成处理的全过程管理与控制。针对数字林业在数字锦屏建设中的主题设计，在协同事件触发时，按照协同主题自动调取协同处理事件主题实现实时调度与展示，形成“事件驱动、规则判断、联动处理、流程监管”的智能协同体系。</w:t>
            </w:r>
            <w:r>
              <w:rPr>
                <w:rFonts w:eastAsia="宋体" w:cs="宋体"/>
                <w:color w:val="000000"/>
                <w:kern w:val="0"/>
                <w:sz w:val="20"/>
                <w:szCs w:val="20"/>
              </w:rPr>
              <w:t>1、智能协同管理模块：管理与控制各重点领导和事件，依据规则自动选择相应的处理流程,并实现实时调度与展示；2、协同展示主题</w:t>
            </w:r>
            <w:r>
              <w:rPr>
                <w:rFonts w:hint="eastAsia" w:eastAsia="宋体" w:cs="宋体"/>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城市运营管理智能决策</w:t>
            </w:r>
          </w:p>
        </w:tc>
        <w:tc>
          <w:tcPr>
            <w:tcW w:w="5305" w:type="dxa"/>
            <w:shd w:val="clear" w:color="auto" w:fill="auto"/>
            <w:noWrap/>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对城市运行历史数据的全面整合，建立城市运营管理分析决策模型，分析、挖掘城市运营管理领域的内在规律、发展趋势和问题</w:t>
            </w:r>
            <w:r>
              <w:rPr>
                <w:rFonts w:eastAsia="宋体" w:cs="宋体"/>
                <w:color w:val="000000"/>
                <w:kern w:val="0"/>
                <w:sz w:val="20"/>
                <w:szCs w:val="20"/>
              </w:rPr>
              <w:t>,依据规则自动展示方案供领导层参考，并实现实时调度与展示，为智慧城市运营管理决策提供及时迅速的支持。1、智慧决策管理：管理某一类需要进行智能决策的事件给自动生成方案，在需要进行决策与判断时，管理决策规则自动生成方案供领导层参考，例如经济运行、重点关注事件等；2、展示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综合集成管理系统</w:t>
            </w:r>
          </w:p>
        </w:tc>
        <w:tc>
          <w:tcPr>
            <w:tcW w:w="5305" w:type="dxa"/>
            <w:shd w:val="clear" w:color="auto" w:fill="auto"/>
            <w:noWrap/>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应用集成层建设综合集成管理系统，提供数据集成、服务集成、统一管理、统一调度、接口配置等功能。</w:t>
            </w:r>
            <w:r>
              <w:rPr>
                <w:rFonts w:eastAsia="宋体" w:cs="宋体"/>
                <w:color w:val="000000"/>
                <w:kern w:val="0"/>
                <w:sz w:val="20"/>
                <w:szCs w:val="20"/>
              </w:rPr>
              <w:t>1、服务管理与集成：提供服务的分配、接入、协议适配与转换，担当各个业务系统间的服务集成，配合服务总线使用，降低系统间交互的复杂性</w:t>
            </w:r>
            <w:r>
              <w:rPr>
                <w:rFonts w:hint="eastAsia" w:eastAsia="宋体" w:cs="宋体"/>
                <w:color w:val="000000"/>
                <w:kern w:val="0"/>
                <w:sz w:val="20"/>
                <w:szCs w:val="20"/>
              </w:rPr>
              <w:t>；</w:t>
            </w:r>
            <w:r>
              <w:rPr>
                <w:rFonts w:eastAsia="宋体" w:cs="宋体"/>
                <w:color w:val="000000"/>
                <w:kern w:val="0"/>
                <w:sz w:val="20"/>
                <w:szCs w:val="20"/>
              </w:rPr>
              <w:t>2、数据管理与集成：提供元数据管理、数据整合等基础数据管理功能，并为上层应用和外部系统提供数据共享服务，为各业务系统数据的管控、共享和应用提供支撑</w:t>
            </w:r>
            <w:r>
              <w:rPr>
                <w:rFonts w:hint="eastAsia" w:eastAsia="宋体" w:cs="宋体"/>
                <w:color w:val="000000"/>
                <w:kern w:val="0"/>
                <w:sz w:val="20"/>
                <w:szCs w:val="20"/>
              </w:rPr>
              <w:t>；</w:t>
            </w:r>
            <w:r>
              <w:rPr>
                <w:rFonts w:eastAsia="宋体" w:cs="宋体"/>
                <w:color w:val="000000"/>
                <w:kern w:val="0"/>
                <w:sz w:val="20"/>
                <w:szCs w:val="20"/>
              </w:rPr>
              <w:t>流程管理与集成，提供流程定义、执行和监控功能，为应用内部和跨应用的流程协同提供支撑。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数字林业运行主题</w:t>
            </w:r>
          </w:p>
        </w:tc>
        <w:tc>
          <w:tcPr>
            <w:tcW w:w="5305" w:type="dxa"/>
            <w:shd w:val="clear" w:color="auto" w:fill="auto"/>
            <w:noWrap/>
            <w:vAlign w:val="center"/>
          </w:tcPr>
          <w:p>
            <w:pPr>
              <w:widowControl/>
              <w:spacing w:line="340" w:lineRule="exact"/>
              <w:ind w:firstLine="0"/>
              <w:jc w:val="left"/>
              <w:rPr>
                <w:rFonts w:hint="eastAsia" w:eastAsia="宋体" w:cs="宋体"/>
                <w:color w:val="000000"/>
                <w:kern w:val="0"/>
                <w:sz w:val="20"/>
                <w:szCs w:val="20"/>
              </w:rPr>
            </w:pPr>
            <w:r>
              <w:rPr>
                <w:rFonts w:hint="eastAsia" w:eastAsia="宋体" w:cs="宋体"/>
                <w:color w:val="000000"/>
                <w:kern w:val="0"/>
                <w:sz w:val="20"/>
                <w:szCs w:val="20"/>
              </w:rPr>
              <w:t>数字林业专运行主题设计和展示开发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auto"/>
            <w:noWrap/>
            <w:vAlign w:val="center"/>
          </w:tcPr>
          <w:p>
            <w:pPr>
              <w:widowControl/>
              <w:spacing w:line="340" w:lineRule="exact"/>
              <w:ind w:firstLine="0"/>
              <w:jc w:val="center"/>
              <w:rPr>
                <w:rFonts w:hint="eastAsia" w:eastAsia="宋体" w:cs="宋体"/>
                <w:b/>
                <w:bCs/>
                <w:color w:val="FF0000"/>
                <w:kern w:val="0"/>
                <w:sz w:val="20"/>
                <w:szCs w:val="24"/>
              </w:rPr>
            </w:pPr>
          </w:p>
        </w:tc>
        <w:tc>
          <w:tcPr>
            <w:tcW w:w="2303" w:type="dxa"/>
            <w:shd w:val="clear" w:color="auto" w:fill="auto"/>
            <w:noWrap w:val="0"/>
            <w:vAlign w:val="center"/>
          </w:tcPr>
          <w:p>
            <w:pPr>
              <w:widowControl/>
              <w:spacing w:line="340" w:lineRule="exact"/>
              <w:ind w:firstLine="0"/>
              <w:jc w:val="left"/>
              <w:rPr>
                <w:rFonts w:hint="eastAsia" w:eastAsia="宋体" w:cs="宋体"/>
                <w:color w:val="000000"/>
                <w:kern w:val="0"/>
                <w:sz w:val="20"/>
                <w:szCs w:val="20"/>
              </w:rPr>
            </w:pPr>
          </w:p>
        </w:tc>
        <w:tc>
          <w:tcPr>
            <w:tcW w:w="5305" w:type="dxa"/>
            <w:shd w:val="clear" w:color="auto" w:fill="auto"/>
            <w:noWrap/>
            <w:vAlign w:val="center"/>
          </w:tcPr>
          <w:p>
            <w:pPr>
              <w:widowControl/>
              <w:spacing w:line="340" w:lineRule="exact"/>
              <w:ind w:firstLine="0"/>
              <w:jc w:val="left"/>
              <w:rPr>
                <w:rFonts w:hint="eastAsia" w:eastAsia="宋体" w:cs="宋体"/>
                <w:color w:val="000000"/>
                <w:kern w:val="0"/>
                <w:sz w:val="20"/>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25B4F"/>
    <w:multiLevelType w:val="multilevel"/>
    <w:tmpl w:val="31925B4F"/>
    <w:lvl w:ilvl="0" w:tentative="0">
      <w:start w:val="1"/>
      <w:numFmt w:val="chineseCountingThousand"/>
      <w:suff w:val="space"/>
      <w:lvlText w:val="第%1章"/>
      <w:lvlJc w:val="center"/>
      <w:pPr>
        <w:ind w:left="420" w:hanging="420"/>
      </w:pPr>
      <w:rPr>
        <w:rFonts w:hint="eastAsia" w:cs="Times New Roman"/>
        <w:b/>
        <w:bCs w:val="0"/>
        <w:i w:val="0"/>
        <w:iCs w:val="0"/>
        <w:caps w:val="0"/>
        <w:smallCaps w:val="0"/>
        <w:strike w:val="0"/>
        <w:dstrike w:val="0"/>
        <w:vanish w:val="0"/>
        <w:spacing w:val="0"/>
        <w:position w:val="0"/>
        <w:u w:val="none"/>
        <w:vertAlign w:val="baseline"/>
      </w:rPr>
    </w:lvl>
    <w:lvl w:ilvl="1" w:tentative="0">
      <w:start w:val="1"/>
      <w:numFmt w:val="decimal"/>
      <w:pStyle w:val="2"/>
      <w:isLgl/>
      <w:suff w:val="space"/>
      <w:lvlText w:val="%1.%2"/>
      <w:lvlJc w:val="left"/>
      <w:pPr>
        <w:ind w:left="576" w:hanging="576"/>
      </w:pPr>
      <w:rPr>
        <w:rFonts w:hint="default" w:ascii="Cambria" w:hAnsi="Cambria"/>
      </w:rPr>
    </w:lvl>
    <w:lvl w:ilvl="2" w:tentative="0">
      <w:start w:val="1"/>
      <w:numFmt w:val="decimal"/>
      <w:pStyle w:val="4"/>
      <w:isLgl/>
      <w:suff w:val="space"/>
      <w:lvlText w:val="%1.%2.%3"/>
      <w:lvlJc w:val="left"/>
      <w:pPr>
        <w:ind w:left="720" w:hanging="720"/>
      </w:pPr>
      <w:rPr>
        <w:rFonts w:hint="default" w:ascii="Cambria" w:hAnsi="Cambria"/>
      </w:rPr>
    </w:lvl>
    <w:lvl w:ilvl="3" w:tentative="0">
      <w:start w:val="1"/>
      <w:numFmt w:val="decimal"/>
      <w:pStyle w:val="5"/>
      <w:isLgl/>
      <w:suff w:val="space"/>
      <w:lvlText w:val="%1.%2.%3.%4"/>
      <w:lvlJc w:val="left"/>
      <w:pPr>
        <w:ind w:left="864" w:hanging="864"/>
      </w:pPr>
      <w:rPr>
        <w:rFonts w:hint="default" w:ascii="Cambria" w:hAnsi="Cambria"/>
      </w:rPr>
    </w:lvl>
    <w:lvl w:ilvl="4" w:tentative="0">
      <w:start w:val="1"/>
      <w:numFmt w:val="decimal"/>
      <w:isLgl/>
      <w:suff w:val="space"/>
      <w:lvlText w:val="%1.%2.%3.%4.%5"/>
      <w:lvlJc w:val="left"/>
      <w:pPr>
        <w:ind w:left="1008" w:hanging="1008"/>
      </w:pPr>
      <w:rPr>
        <w:rFonts w:hint="eastAsia"/>
      </w:rPr>
    </w:lvl>
    <w:lvl w:ilvl="5" w:tentative="0">
      <w:start w:val="1"/>
      <w:numFmt w:val="decimal"/>
      <w:isLgl/>
      <w:lvlText w:val="%1.%2.%3.%4.%5.%6"/>
      <w:lvlJc w:val="left"/>
      <w:pPr>
        <w:ind w:left="1152" w:hanging="1152"/>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FC"/>
    <w:rsid w:val="00016AC3"/>
    <w:rsid w:val="0005626E"/>
    <w:rsid w:val="00381E5D"/>
    <w:rsid w:val="004A2DFF"/>
    <w:rsid w:val="004D5C70"/>
    <w:rsid w:val="00A11078"/>
    <w:rsid w:val="00B019E0"/>
    <w:rsid w:val="00CF78D5"/>
    <w:rsid w:val="00D613FC"/>
    <w:rsid w:val="00DA7BA5"/>
    <w:rsid w:val="1BED2F26"/>
    <w:rsid w:val="258C0165"/>
    <w:rsid w:val="2E8632A7"/>
    <w:rsid w:val="33766EEB"/>
    <w:rsid w:val="39166CB5"/>
    <w:rsid w:val="3DD93BAE"/>
    <w:rsid w:val="400807C4"/>
    <w:rsid w:val="40281C22"/>
    <w:rsid w:val="489D16D1"/>
    <w:rsid w:val="689B7B9C"/>
    <w:rsid w:val="77363501"/>
    <w:rsid w:val="7B494F12"/>
    <w:rsid w:val="7CB3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jc w:val="both"/>
    </w:pPr>
    <w:rPr>
      <w:rFonts w:ascii="宋体" w:hAnsi="宋体" w:eastAsia="仿宋_GB2312" w:cs="Times New Roman"/>
      <w:kern w:val="2"/>
      <w:sz w:val="28"/>
      <w:szCs w:val="21"/>
      <w:lang w:val="en-US" w:eastAsia="zh-CN" w:bidi="ar-SA"/>
    </w:rPr>
  </w:style>
  <w:style w:type="paragraph" w:styleId="2">
    <w:name w:val="heading 2"/>
    <w:basedOn w:val="1"/>
    <w:next w:val="3"/>
    <w:qFormat/>
    <w:uiPriority w:val="0"/>
    <w:pPr>
      <w:keepNext/>
      <w:keepLines/>
      <w:numPr>
        <w:ilvl w:val="1"/>
        <w:numId w:val="1"/>
      </w:numPr>
      <w:spacing w:line="415" w:lineRule="auto"/>
      <w:outlineLvl w:val="1"/>
    </w:pPr>
    <w:rPr>
      <w:rFonts w:ascii="黑体" w:hAnsi="Arial" w:eastAsia="宋体"/>
      <w:b/>
      <w:bCs/>
      <w:sz w:val="36"/>
      <w:szCs w:val="32"/>
    </w:rPr>
  </w:style>
  <w:style w:type="paragraph" w:styleId="4">
    <w:name w:val="heading 3"/>
    <w:basedOn w:val="1"/>
    <w:next w:val="3"/>
    <w:qFormat/>
    <w:uiPriority w:val="0"/>
    <w:pPr>
      <w:keepNext/>
      <w:keepLines/>
      <w:numPr>
        <w:ilvl w:val="2"/>
        <w:numId w:val="1"/>
      </w:numPr>
      <w:outlineLvl w:val="2"/>
    </w:pPr>
    <w:rPr>
      <w:rFonts w:eastAsia="宋体"/>
      <w:b/>
      <w:bCs/>
      <w:sz w:val="32"/>
      <w:szCs w:val="32"/>
    </w:rPr>
  </w:style>
  <w:style w:type="paragraph" w:styleId="5">
    <w:name w:val="heading 4"/>
    <w:basedOn w:val="1"/>
    <w:next w:val="3"/>
    <w:qFormat/>
    <w:uiPriority w:val="0"/>
    <w:pPr>
      <w:keepNext/>
      <w:keepLines/>
      <w:numPr>
        <w:ilvl w:val="3"/>
        <w:numId w:val="1"/>
      </w:numPr>
      <w:outlineLvl w:val="3"/>
    </w:pPr>
    <w:rPr>
      <w:rFonts w:ascii="Arial" w:hAnsi="Arial"/>
      <w:b/>
      <w:bCs/>
      <w:sz w:val="30"/>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正文（首行缩进） qu"/>
    <w:basedOn w:val="1"/>
    <w:qFormat/>
    <w:uiPriority w:val="0"/>
    <w:pPr>
      <w:spacing w:beforeLines="50" w:afterLines="50" w:line="240" w:lineRule="auto"/>
      <w:ind w:firstLine="560" w:firstLineChars="200"/>
      <w:jc w:val="left"/>
    </w:pPr>
    <w:rPr>
      <w:color w:val="000000"/>
      <w:kern w:val="0"/>
    </w:rPr>
  </w:style>
  <w:style w:type="paragraph" w:styleId="6">
    <w:name w:val="annotation text"/>
    <w:basedOn w:val="1"/>
    <w:link w:val="15"/>
    <w:qFormat/>
    <w:uiPriority w:val="0"/>
    <w:pPr>
      <w:jc w:val="left"/>
    </w:pPr>
  </w:style>
  <w:style w:type="paragraph" w:styleId="7">
    <w:name w:val="Balloon Text"/>
    <w:basedOn w:val="1"/>
    <w:link w:val="17"/>
    <w:qFormat/>
    <w:uiPriority w:val="0"/>
    <w:pPr>
      <w:spacing w:line="240" w:lineRule="auto"/>
    </w:pPr>
    <w:rPr>
      <w:sz w:val="18"/>
      <w:szCs w:val="18"/>
    </w:rPr>
  </w:style>
  <w:style w:type="paragraph" w:styleId="8">
    <w:name w:val="annotation subject"/>
    <w:basedOn w:val="6"/>
    <w:next w:val="6"/>
    <w:link w:val="16"/>
    <w:uiPriority w:val="0"/>
    <w:rPr>
      <w:b/>
      <w:bCs/>
    </w:rPr>
  </w:style>
  <w:style w:type="character" w:styleId="11">
    <w:name w:val="annotation reference"/>
    <w:basedOn w:val="10"/>
    <w:qFormat/>
    <w:uiPriority w:val="0"/>
    <w:rPr>
      <w:sz w:val="21"/>
      <w:szCs w:val="21"/>
    </w:rPr>
  </w:style>
  <w:style w:type="paragraph" w:customStyle="1" w:styleId="12">
    <w:name w:val="标题2 sosopeng"/>
    <w:basedOn w:val="2"/>
    <w:qFormat/>
    <w:uiPriority w:val="0"/>
    <w:pPr>
      <w:spacing w:before="480" w:after="240" w:line="240" w:lineRule="auto"/>
      <w:jc w:val="left"/>
    </w:pPr>
    <w:rPr>
      <w:rFonts w:ascii="仿宋" w:hAnsi="仿宋" w:eastAsia="黑体"/>
      <w:b w:val="0"/>
      <w:kern w:val="0"/>
      <w:sz w:val="28"/>
    </w:rPr>
  </w:style>
  <w:style w:type="paragraph" w:customStyle="1" w:styleId="13">
    <w:name w:val="正文 sosopeng"/>
    <w:basedOn w:val="1"/>
    <w:qFormat/>
    <w:uiPriority w:val="0"/>
    <w:pPr>
      <w:spacing w:line="400" w:lineRule="exact"/>
      <w:ind w:firstLine="480" w:firstLineChars="200"/>
    </w:pPr>
    <w:rPr>
      <w:rFonts w:eastAsia="宋体"/>
      <w:color w:val="000000"/>
      <w:kern w:val="0"/>
      <w:sz w:val="24"/>
      <w:szCs w:val="24"/>
      <w:shd w:val="clear" w:color="auto" w:fill="FFFFFF"/>
    </w:rPr>
  </w:style>
  <w:style w:type="paragraph" w:customStyle="1" w:styleId="14">
    <w:name w:val="标题4 sosopeng"/>
    <w:basedOn w:val="5"/>
    <w:qFormat/>
    <w:uiPriority w:val="0"/>
    <w:pPr>
      <w:spacing w:before="240" w:after="240" w:line="240" w:lineRule="auto"/>
    </w:pPr>
    <w:rPr>
      <w:rFonts w:eastAsia="黑体"/>
      <w:b w:val="0"/>
      <w:kern w:val="0"/>
      <w:sz w:val="24"/>
    </w:rPr>
  </w:style>
  <w:style w:type="character" w:customStyle="1" w:styleId="15">
    <w:name w:val="批注文字 Char"/>
    <w:basedOn w:val="10"/>
    <w:link w:val="6"/>
    <w:qFormat/>
    <w:uiPriority w:val="0"/>
    <w:rPr>
      <w:rFonts w:ascii="宋体" w:hAnsi="宋体" w:eastAsia="仿宋_GB2312"/>
      <w:kern w:val="2"/>
      <w:sz w:val="28"/>
      <w:szCs w:val="21"/>
    </w:rPr>
  </w:style>
  <w:style w:type="character" w:customStyle="1" w:styleId="16">
    <w:name w:val="批注主题 Char"/>
    <w:basedOn w:val="15"/>
    <w:link w:val="8"/>
    <w:qFormat/>
    <w:uiPriority w:val="0"/>
    <w:rPr>
      <w:rFonts w:ascii="宋体" w:hAnsi="宋体" w:eastAsia="仿宋_GB2312"/>
      <w:b/>
      <w:bCs/>
      <w:kern w:val="2"/>
      <w:sz w:val="28"/>
      <w:szCs w:val="21"/>
    </w:rPr>
  </w:style>
  <w:style w:type="character" w:customStyle="1" w:styleId="17">
    <w:name w:val="批注框文本 Char"/>
    <w:basedOn w:val="10"/>
    <w:link w:val="7"/>
    <w:qFormat/>
    <w:uiPriority w:val="0"/>
    <w:rPr>
      <w:rFonts w:ascii="宋体" w:hAnsi="宋体" w:eastAsia="仿宋_GB2312"/>
      <w:kern w:val="2"/>
      <w:sz w:val="18"/>
      <w:szCs w:val="18"/>
    </w:rPr>
  </w:style>
  <w:style w:type="paragraph" w:customStyle="1" w:styleId="18">
    <w:name w:val="标题3 sosopeng"/>
    <w:basedOn w:val="4"/>
    <w:qFormat/>
    <w:uiPriority w:val="0"/>
    <w:pPr>
      <w:spacing w:before="240" w:after="240" w:line="240" w:lineRule="auto"/>
      <w:jc w:val="left"/>
    </w:pPr>
    <w:rPr>
      <w:rFonts w:eastAsia="黑体"/>
      <w:b w:val="0"/>
      <w:kern w:val="0"/>
      <w:sz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191</Words>
  <Characters>1094</Characters>
  <Lines>9</Lines>
  <Paragraphs>2</Paragraphs>
  <TotalTime>3</TotalTime>
  <ScaleCrop>false</ScaleCrop>
  <LinksUpToDate>false</LinksUpToDate>
  <CharactersWithSpaces>1283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2019-05-18T05:46:00Z</dcterms:created>
  <dc:creator>lenovo</dc:creator>
  <cp:lastModifiedBy>方圆几里</cp:lastModifiedBy>
  <dcterms:modified xsi:type="dcterms:W3CDTF">2019-05-29T09:10:12Z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