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E6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“批量编辑”组件功能变更</w:t>
      </w:r>
    </w:p>
    <w:p w14:paraId="39F0077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文档变更记录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4482"/>
        <w:gridCol w:w="1283"/>
        <w:gridCol w:w="1000"/>
        <w:gridCol w:w="1009"/>
      </w:tblGrid>
      <w:tr w14:paraId="75EE6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  <w:shd w:val="clear" w:color="auto" w:fill="D7D7D7" w:themeFill="background1" w:themeFillShade="D8"/>
          </w:tcPr>
          <w:p w14:paraId="0A2B8345">
            <w:pPr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4482" w:type="dxa"/>
            <w:shd w:val="clear" w:color="auto" w:fill="D7D7D7" w:themeFill="background1" w:themeFillShade="D8"/>
          </w:tcPr>
          <w:p w14:paraId="34860054">
            <w:pPr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变更内容</w:t>
            </w:r>
          </w:p>
        </w:tc>
        <w:tc>
          <w:tcPr>
            <w:tcW w:w="1283" w:type="dxa"/>
            <w:shd w:val="clear" w:color="auto" w:fill="D7D7D7" w:themeFill="background1" w:themeFillShade="D8"/>
          </w:tcPr>
          <w:p w14:paraId="208CD856">
            <w:pPr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变更时间</w:t>
            </w:r>
          </w:p>
        </w:tc>
        <w:tc>
          <w:tcPr>
            <w:tcW w:w="1000" w:type="dxa"/>
            <w:shd w:val="clear" w:color="auto" w:fill="D7D7D7" w:themeFill="background1" w:themeFillShade="D8"/>
          </w:tcPr>
          <w:p w14:paraId="3CE1A1CF">
            <w:pPr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变更人</w:t>
            </w:r>
          </w:p>
        </w:tc>
        <w:tc>
          <w:tcPr>
            <w:tcW w:w="1009" w:type="dxa"/>
            <w:shd w:val="clear" w:color="auto" w:fill="D7D7D7" w:themeFill="background1" w:themeFillShade="D8"/>
          </w:tcPr>
          <w:p w14:paraId="069A1773">
            <w:pPr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64C8A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</w:tcPr>
          <w:p w14:paraId="76EBC1A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4482" w:type="dxa"/>
          </w:tcPr>
          <w:p w14:paraId="37C939B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新建</w:t>
            </w:r>
          </w:p>
        </w:tc>
        <w:tc>
          <w:tcPr>
            <w:tcW w:w="1283" w:type="dxa"/>
          </w:tcPr>
          <w:p w14:paraId="02C2A15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2024.10.14</w:t>
            </w:r>
          </w:p>
        </w:tc>
        <w:tc>
          <w:tcPr>
            <w:tcW w:w="1000" w:type="dxa"/>
          </w:tcPr>
          <w:p w14:paraId="0A7EEA9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张桐阳</w:t>
            </w:r>
          </w:p>
        </w:tc>
        <w:tc>
          <w:tcPr>
            <w:tcW w:w="1009" w:type="dxa"/>
          </w:tcPr>
          <w:p w14:paraId="167DA81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 w14:paraId="17139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</w:tcPr>
          <w:p w14:paraId="030347A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4482" w:type="dxa"/>
          </w:tcPr>
          <w:p w14:paraId="603F51A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补充逻辑细节</w:t>
            </w:r>
          </w:p>
        </w:tc>
        <w:tc>
          <w:tcPr>
            <w:tcW w:w="1283" w:type="dxa"/>
          </w:tcPr>
          <w:p w14:paraId="1786FF5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2024.12.23</w:t>
            </w:r>
          </w:p>
        </w:tc>
        <w:tc>
          <w:tcPr>
            <w:tcW w:w="1000" w:type="dxa"/>
            <w:vAlign w:val="top"/>
          </w:tcPr>
          <w:p w14:paraId="5F3585C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张桐阳</w:t>
            </w:r>
          </w:p>
        </w:tc>
        <w:tc>
          <w:tcPr>
            <w:tcW w:w="1009" w:type="dxa"/>
          </w:tcPr>
          <w:p w14:paraId="6134395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 w14:paraId="4B02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</w:tcPr>
          <w:p w14:paraId="43A516E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4482" w:type="dxa"/>
          </w:tcPr>
          <w:p w14:paraId="74947987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增加需求来源章节</w:t>
            </w:r>
          </w:p>
        </w:tc>
        <w:tc>
          <w:tcPr>
            <w:tcW w:w="1283" w:type="dxa"/>
          </w:tcPr>
          <w:p w14:paraId="219F415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2025.2.20</w:t>
            </w:r>
          </w:p>
        </w:tc>
        <w:tc>
          <w:tcPr>
            <w:tcW w:w="1000" w:type="dxa"/>
            <w:shd w:val="clear" w:color="auto" w:fill="auto"/>
            <w:vAlign w:val="top"/>
          </w:tcPr>
          <w:p w14:paraId="3645519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张桐阳</w:t>
            </w:r>
          </w:p>
        </w:tc>
        <w:tc>
          <w:tcPr>
            <w:tcW w:w="1009" w:type="dxa"/>
          </w:tcPr>
          <w:p w14:paraId="00013C2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 w14:paraId="0C99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</w:tcPr>
          <w:p w14:paraId="11B6D16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4482" w:type="dxa"/>
          </w:tcPr>
          <w:p w14:paraId="6F59FFC1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补充功能设计细节</w:t>
            </w:r>
          </w:p>
        </w:tc>
        <w:tc>
          <w:tcPr>
            <w:tcW w:w="1283" w:type="dxa"/>
          </w:tcPr>
          <w:p w14:paraId="6D360EA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2026.2.28</w:t>
            </w:r>
          </w:p>
        </w:tc>
        <w:tc>
          <w:tcPr>
            <w:tcW w:w="1000" w:type="dxa"/>
          </w:tcPr>
          <w:p w14:paraId="3FD5C5E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檀天航</w:t>
            </w:r>
          </w:p>
        </w:tc>
        <w:tc>
          <w:tcPr>
            <w:tcW w:w="1009" w:type="dxa"/>
          </w:tcPr>
          <w:p w14:paraId="7173124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 w14:paraId="622EE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</w:tcPr>
          <w:p w14:paraId="36B3F894">
            <w:pPr>
              <w:jc w:val="center"/>
              <w:rPr>
                <w:rFonts w:ascii="宋体" w:hAnsi="宋体" w:eastAsia="宋体"/>
                <w:b w:val="0"/>
                <w:bCs w:val="0"/>
                <w:sz w:val="20"/>
                <w:szCs w:val="20"/>
                <w:vertAlign w:val="baseline"/>
              </w:rPr>
            </w:pPr>
          </w:p>
        </w:tc>
        <w:tc>
          <w:tcPr>
            <w:tcW w:w="4482" w:type="dxa"/>
          </w:tcPr>
          <w:p w14:paraId="05939C92">
            <w:pPr>
              <w:jc w:val="left"/>
              <w:rPr>
                <w:rFonts w:ascii="宋体" w:hAnsi="宋体" w:eastAsia="宋体"/>
                <w:b w:val="0"/>
                <w:bCs w:val="0"/>
                <w:sz w:val="20"/>
                <w:szCs w:val="20"/>
                <w:vertAlign w:val="baseline"/>
              </w:rPr>
            </w:pPr>
          </w:p>
        </w:tc>
        <w:tc>
          <w:tcPr>
            <w:tcW w:w="1283" w:type="dxa"/>
          </w:tcPr>
          <w:p w14:paraId="517D8679">
            <w:pPr>
              <w:jc w:val="center"/>
              <w:rPr>
                <w:rFonts w:ascii="宋体" w:hAnsi="宋体" w:eastAsia="宋体"/>
                <w:b w:val="0"/>
                <w:bCs w:val="0"/>
                <w:sz w:val="20"/>
                <w:szCs w:val="20"/>
                <w:vertAlign w:val="baseline"/>
              </w:rPr>
            </w:pPr>
          </w:p>
        </w:tc>
        <w:tc>
          <w:tcPr>
            <w:tcW w:w="1000" w:type="dxa"/>
          </w:tcPr>
          <w:p w14:paraId="0F9BDBB8">
            <w:pPr>
              <w:jc w:val="center"/>
              <w:rPr>
                <w:rFonts w:ascii="宋体" w:hAnsi="宋体" w:eastAsia="宋体"/>
                <w:b w:val="0"/>
                <w:bCs w:val="0"/>
                <w:sz w:val="20"/>
                <w:szCs w:val="20"/>
                <w:vertAlign w:val="baseline"/>
              </w:rPr>
            </w:pPr>
          </w:p>
        </w:tc>
        <w:tc>
          <w:tcPr>
            <w:tcW w:w="1009" w:type="dxa"/>
          </w:tcPr>
          <w:p w14:paraId="02CF28B3">
            <w:pPr>
              <w:jc w:val="center"/>
              <w:rPr>
                <w:rFonts w:ascii="宋体" w:hAnsi="宋体" w:eastAsia="宋体"/>
                <w:b w:val="0"/>
                <w:bCs w:val="0"/>
                <w:sz w:val="20"/>
                <w:szCs w:val="20"/>
                <w:vertAlign w:val="baseline"/>
              </w:rPr>
            </w:pPr>
          </w:p>
        </w:tc>
      </w:tr>
      <w:tr w14:paraId="133C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8" w:type="dxa"/>
          </w:tcPr>
          <w:p w14:paraId="5500F13E">
            <w:pPr>
              <w:jc w:val="center"/>
              <w:rPr>
                <w:rFonts w:ascii="宋体" w:hAnsi="宋体" w:eastAsia="宋体"/>
                <w:b w:val="0"/>
                <w:bCs w:val="0"/>
                <w:sz w:val="20"/>
                <w:szCs w:val="20"/>
                <w:vertAlign w:val="baseline"/>
              </w:rPr>
            </w:pPr>
          </w:p>
        </w:tc>
        <w:tc>
          <w:tcPr>
            <w:tcW w:w="4482" w:type="dxa"/>
          </w:tcPr>
          <w:p w14:paraId="686EC9E2">
            <w:pPr>
              <w:jc w:val="left"/>
              <w:rPr>
                <w:rFonts w:ascii="宋体" w:hAnsi="宋体" w:eastAsia="宋体"/>
                <w:b w:val="0"/>
                <w:bCs w:val="0"/>
                <w:sz w:val="20"/>
                <w:szCs w:val="20"/>
                <w:vertAlign w:val="baseline"/>
              </w:rPr>
            </w:pPr>
          </w:p>
        </w:tc>
        <w:tc>
          <w:tcPr>
            <w:tcW w:w="1283" w:type="dxa"/>
          </w:tcPr>
          <w:p w14:paraId="3C461FA7">
            <w:pPr>
              <w:jc w:val="center"/>
              <w:rPr>
                <w:rFonts w:ascii="宋体" w:hAnsi="宋体" w:eastAsia="宋体"/>
                <w:b w:val="0"/>
                <w:bCs w:val="0"/>
                <w:sz w:val="20"/>
                <w:szCs w:val="20"/>
                <w:vertAlign w:val="baseline"/>
              </w:rPr>
            </w:pPr>
          </w:p>
        </w:tc>
        <w:tc>
          <w:tcPr>
            <w:tcW w:w="1000" w:type="dxa"/>
          </w:tcPr>
          <w:p w14:paraId="0737C21A">
            <w:pPr>
              <w:jc w:val="center"/>
              <w:rPr>
                <w:rFonts w:ascii="宋体" w:hAnsi="宋体" w:eastAsia="宋体"/>
                <w:b w:val="0"/>
                <w:bCs w:val="0"/>
                <w:sz w:val="20"/>
                <w:szCs w:val="20"/>
                <w:vertAlign w:val="baseline"/>
              </w:rPr>
            </w:pPr>
          </w:p>
        </w:tc>
        <w:tc>
          <w:tcPr>
            <w:tcW w:w="1009" w:type="dxa"/>
          </w:tcPr>
          <w:p w14:paraId="16332A9D">
            <w:pPr>
              <w:jc w:val="center"/>
              <w:rPr>
                <w:rFonts w:ascii="宋体" w:hAnsi="宋体" w:eastAsia="宋体"/>
                <w:b w:val="0"/>
                <w:bCs w:val="0"/>
                <w:sz w:val="20"/>
                <w:szCs w:val="20"/>
                <w:vertAlign w:val="baseline"/>
              </w:rPr>
            </w:pPr>
          </w:p>
        </w:tc>
      </w:tr>
    </w:tbl>
    <w:p w14:paraId="565E45C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需求介绍</w:t>
      </w:r>
    </w:p>
    <w:p w14:paraId="4EDEDC60">
      <w:pPr>
        <w:pStyle w:val="3"/>
        <w:bidi w:val="0"/>
        <w:outlineLvl w:val="1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变更范围</w:t>
      </w:r>
    </w:p>
    <w:p w14:paraId="79A95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基于原有“批量修改”功能（参考“资产验收-验收入库-批量修改”功能）进行功能优化，并组件化应用与其他功能模块中。</w:t>
      </w:r>
    </w:p>
    <w:p w14:paraId="62F80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“批量编辑”功能将会应用于“资产验收”、“信息卡变动”、“信息卡拆分”等模块中，因此，建议将此功能组件化，后续有其他业务需要的话可以快速增加。</w:t>
      </w:r>
    </w:p>
    <w:p w14:paraId="2D35EB5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初始需求</w:t>
      </w:r>
    </w:p>
    <w:tbl>
      <w:tblPr>
        <w:tblStyle w:val="9"/>
        <w:tblW w:w="8588" w:type="dxa"/>
        <w:tblInd w:w="-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5280"/>
        <w:gridCol w:w="2400"/>
      </w:tblGrid>
      <w:tr w14:paraId="2DD7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D7D7D7" w:themeFill="background1" w:themeFillShade="D8"/>
            <w:vAlign w:val="center"/>
          </w:tcPr>
          <w:p w14:paraId="36296D4B">
            <w:pPr>
              <w:spacing w:line="240" w:lineRule="auto"/>
              <w:jc w:val="center"/>
              <w:rPr>
                <w:rFonts w:hint="default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需求池编号</w:t>
            </w:r>
          </w:p>
        </w:tc>
        <w:tc>
          <w:tcPr>
            <w:tcW w:w="5280" w:type="dxa"/>
            <w:shd w:val="clear" w:color="auto" w:fill="D7D7D7" w:themeFill="background1" w:themeFillShade="D8"/>
            <w:vAlign w:val="center"/>
          </w:tcPr>
          <w:p w14:paraId="080BB47D">
            <w:pPr>
              <w:spacing w:line="240" w:lineRule="auto"/>
              <w:jc w:val="center"/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需求描述</w:t>
            </w:r>
          </w:p>
        </w:tc>
        <w:tc>
          <w:tcPr>
            <w:tcW w:w="2400" w:type="dxa"/>
            <w:shd w:val="clear" w:color="auto" w:fill="D7D7D7" w:themeFill="background1" w:themeFillShade="D8"/>
            <w:vAlign w:val="center"/>
          </w:tcPr>
          <w:p w14:paraId="38ADBD3C">
            <w:pPr>
              <w:spacing w:line="240" w:lineRule="auto"/>
              <w:jc w:val="center"/>
              <w:rPr>
                <w:rFonts w:hint="default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分析结论</w:t>
            </w:r>
          </w:p>
        </w:tc>
      </w:tr>
      <w:tr w14:paraId="4343C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vAlign w:val="center"/>
          </w:tcPr>
          <w:p w14:paraId="11F483A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359</w:t>
            </w:r>
          </w:p>
        </w:tc>
        <w:tc>
          <w:tcPr>
            <w:tcW w:w="5280" w:type="dxa"/>
            <w:shd w:val="clear" w:color="auto" w:fill="auto"/>
            <w:vAlign w:val="center"/>
          </w:tcPr>
          <w:p w14:paraId="5DCA24F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变动业务的批量变动，暂存已变动项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批量编辑页面 为 若校验，仅提示，，在单据保存按钮处为强校验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68E6E7E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可暂存已修改内容。</w:t>
            </w:r>
          </w:p>
          <w:p w14:paraId="684C9EE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最终保存提交时必须校验通过，一般校验提示错误信息即可。</w:t>
            </w:r>
          </w:p>
        </w:tc>
      </w:tr>
      <w:tr w14:paraId="309C6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vAlign w:val="center"/>
          </w:tcPr>
          <w:p w14:paraId="209D73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360</w:t>
            </w:r>
          </w:p>
        </w:tc>
        <w:tc>
          <w:tcPr>
            <w:tcW w:w="5280" w:type="dxa"/>
            <w:shd w:val="clear" w:color="auto" w:fill="auto"/>
            <w:vAlign w:val="center"/>
          </w:tcPr>
          <w:p w14:paraId="245AD22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变动业务的批量变动，点击校验结果，可以直接定位到哪条资产、哪个字段有问题   ；校验结果可以导出。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0D52952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点击错误提示，资产列表定位到对应行。</w:t>
            </w:r>
          </w:p>
          <w:p w14:paraId="1F535F3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导出校验结果。</w:t>
            </w:r>
          </w:p>
        </w:tc>
      </w:tr>
      <w:tr w14:paraId="23972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vAlign w:val="center"/>
          </w:tcPr>
          <w:p w14:paraId="48DAEDD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556</w:t>
            </w:r>
          </w:p>
        </w:tc>
        <w:tc>
          <w:tcPr>
            <w:tcW w:w="5280" w:type="dxa"/>
            <w:shd w:val="clear" w:color="auto" w:fill="auto"/>
            <w:vAlign w:val="center"/>
          </w:tcPr>
          <w:p w14:paraId="58EC612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拆分数量输入以后只能单张完善信息不能批量编辑。十分影响拆分效率。卡片拆分需要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val="en-US" w:eastAsia="zh-CN" w:bidi="ar"/>
              </w:rPr>
              <w:t>批量编辑--参考验收批量编辑（咨询张桐阳）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3F7E775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1、“信息卡拆分”功能模块需要加批量编辑。</w:t>
            </w:r>
          </w:p>
        </w:tc>
      </w:tr>
      <w:tr w14:paraId="566AF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vAlign w:val="center"/>
          </w:tcPr>
          <w:p w14:paraId="4F703EA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916</w:t>
            </w:r>
          </w:p>
        </w:tc>
        <w:tc>
          <w:tcPr>
            <w:tcW w:w="5280" w:type="dxa"/>
            <w:shd w:val="clear" w:color="auto" w:fill="auto"/>
            <w:vAlign w:val="center"/>
          </w:tcPr>
          <w:p w14:paraId="147D4E2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资产拆分，目前无法批量编辑拆分后的资产信息，只能一条条的修改，非常麻烦耽误时间。请也按照卡片变动的模式可以进行导出卡片，进行完善信息后，导入，系统校验。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4F55168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1、“信息卡拆分”功能模块需要加批量编辑，且可导出文档进行编辑，之后导入。</w:t>
            </w:r>
          </w:p>
        </w:tc>
      </w:tr>
      <w:tr w14:paraId="63D0F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vAlign w:val="center"/>
          </w:tcPr>
          <w:p w14:paraId="52D04A16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1140</w:t>
            </w:r>
          </w:p>
        </w:tc>
        <w:tc>
          <w:tcPr>
            <w:tcW w:w="5280" w:type="dxa"/>
            <w:shd w:val="clear" w:color="auto" w:fill="auto"/>
            <w:vAlign w:val="center"/>
          </w:tcPr>
          <w:p w14:paraId="2F1F5DB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资产批量编辑功能会校验所有的配置标准，部分分类无配置标准也会进行校验，希望能把这个校验去掉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2CA942FA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1、应按照配置标准校验。</w:t>
            </w:r>
          </w:p>
        </w:tc>
      </w:tr>
      <w:tr w14:paraId="54287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vAlign w:val="center"/>
          </w:tcPr>
          <w:p w14:paraId="5E94FAA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1535</w:t>
            </w:r>
          </w:p>
        </w:tc>
        <w:tc>
          <w:tcPr>
            <w:tcW w:w="5280" w:type="dxa"/>
            <w:shd w:val="clear" w:color="auto" w:fill="auto"/>
            <w:vAlign w:val="center"/>
          </w:tcPr>
          <w:p w14:paraId="3679912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一般信息变动和重要信息变动时，当选择的资产信息卡数量较多，通过批量编辑修改信息，校验结果显示窗口不方便查看。所以，需要再变动信息批量编辑界面的校验结果增加“校验结果导出”按钮，导出结果明细，方便用户归纳整理共性问题的信息卡，逐项处理问题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461AD5B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优化校验结果显示窗口。</w:t>
            </w:r>
          </w:p>
          <w:p w14:paraId="39A6427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导出信息应包含校验结果。</w:t>
            </w:r>
          </w:p>
        </w:tc>
      </w:tr>
      <w:tr w14:paraId="4EC0F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shd w:val="clear" w:color="auto" w:fill="auto"/>
            <w:vAlign w:val="center"/>
          </w:tcPr>
          <w:p w14:paraId="21A0B19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1630</w:t>
            </w:r>
          </w:p>
        </w:tc>
        <w:tc>
          <w:tcPr>
            <w:tcW w:w="5280" w:type="dxa"/>
            <w:shd w:val="clear" w:color="auto" w:fill="auto"/>
            <w:vAlign w:val="center"/>
          </w:tcPr>
          <w:p w14:paraId="54AE294D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目前的情况:资产变动的在批量编辑下，需要全部校验通过才能保存，如果存在不符合规定的卡片会导致所做变动全部无法保存。需求:要求能够在批量编辑的情况下，能够保存符合校验的数据。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44D8608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highlight w:val="yellow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1、在批量编辑的情况下，能够保存符合校验的数据</w:t>
            </w:r>
          </w:p>
        </w:tc>
      </w:tr>
      <w:tr w14:paraId="436B7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vAlign w:val="center"/>
          </w:tcPr>
          <w:p w14:paraId="6E53161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2031</w:t>
            </w:r>
          </w:p>
        </w:tc>
        <w:tc>
          <w:tcPr>
            <w:tcW w:w="5280" w:type="dxa"/>
            <w:vAlign w:val="center"/>
          </w:tcPr>
          <w:p w14:paraId="6B88FE2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接收调拨验收入库，资产数量多的时候，由于没有原单位信息，导致接收过来对应不同部门时，需要手动选择，哪怕有批量编辑，也十分不便，或者设置批量编辑里可以导入导出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5AF9636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1、批量编辑数据的导入导出功能需求</w:t>
            </w:r>
          </w:p>
        </w:tc>
      </w:tr>
      <w:tr w14:paraId="6500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vAlign w:val="center"/>
          </w:tcPr>
          <w:p w14:paraId="4F0CA1B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2148</w:t>
            </w:r>
          </w:p>
        </w:tc>
        <w:tc>
          <w:tcPr>
            <w:tcW w:w="5280" w:type="dxa"/>
            <w:vAlign w:val="center"/>
          </w:tcPr>
          <w:p w14:paraId="1405C0A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信息卡拆分，拆分后卡片添加批量修改的功能，单位盘点涉及到拆分较多，一个个改很费劲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11D0A59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1、信息开拆分增加批量修改功能的需求。</w:t>
            </w:r>
          </w:p>
        </w:tc>
      </w:tr>
      <w:tr w14:paraId="05BB2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" w:type="dxa"/>
            <w:vAlign w:val="center"/>
          </w:tcPr>
          <w:p w14:paraId="52BA85C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2170</w:t>
            </w:r>
          </w:p>
        </w:tc>
        <w:tc>
          <w:tcPr>
            <w:tcW w:w="5280" w:type="dxa"/>
            <w:vAlign w:val="center"/>
          </w:tcPr>
          <w:p w14:paraId="66EFB84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验收入库需要允许导入错误文件，然后直接到系统内部修改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30F2140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1、导入错误信息，修改后保存。</w:t>
            </w:r>
          </w:p>
        </w:tc>
      </w:tr>
    </w:tbl>
    <w:p w14:paraId="6E5B68AB">
      <w:pPr>
        <w:pStyle w:val="2"/>
        <w:bidi w:val="0"/>
      </w:pPr>
      <w:r>
        <w:rPr>
          <w:rFonts w:hint="eastAsia"/>
          <w:lang w:val="en-US" w:eastAsia="zh-CN"/>
        </w:rPr>
        <w:t>功能设计</w:t>
      </w:r>
    </w:p>
    <w:p w14:paraId="6FECCA9F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批量编辑功能需求</w:t>
      </w:r>
    </w:p>
    <w:p w14:paraId="0CCA2CF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 w14:paraId="35C77200">
      <w:pPr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08905" cy="2491105"/>
            <wp:effectExtent l="0" t="0" r="3175" b="825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2491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B87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jc w:val="center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 批量修改页面原型图——校验信息隐藏</w:t>
      </w:r>
      <w:bookmarkStart w:id="0" w:name="_GoBack"/>
      <w:bookmarkEnd w:id="0"/>
    </w:p>
    <w:p w14:paraId="384104AB">
      <w:pPr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70170" cy="2466340"/>
            <wp:effectExtent l="0" t="0" r="11430" b="254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2466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B66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图2 批量修改页面原型图——校验信息展开</w:t>
      </w:r>
    </w:p>
    <w:p w14:paraId="32AAD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jc w:val="center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263515" cy="3363595"/>
            <wp:effectExtent l="0" t="0" r="9525" b="4445"/>
            <wp:docPr id="10" name="图片 10" descr="2040ca1b-10bb-4a85-b823-6728368730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040ca1b-10bb-4a85-b823-67283687300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D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图3 批量编辑已选资产弹窗——选择本次批量修改的字段</w:t>
      </w:r>
    </w:p>
    <w:p w14:paraId="1F7CA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jc w:val="center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271135" cy="3374390"/>
            <wp:effectExtent l="0" t="0" r="1905" b="8890"/>
            <wp:docPr id="12" name="图片 12" descr="6b3cb5a3-9315-4f83-9566-cdf05c4c3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b3cb5a3-9315-4f83-9566-cdf05c4c35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lang w:val="en-US" w:eastAsia="zh-CN"/>
        </w:rPr>
        <w:t>图4 批量编辑已选资产弹窗——批量修改表单</w:t>
      </w:r>
    </w:p>
    <w:p w14:paraId="53011DB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变更项说明</w:t>
      </w:r>
    </w:p>
    <w:p w14:paraId="67F9742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界面布局、样式，按UI规范及上图调整。</w:t>
      </w:r>
    </w:p>
    <w:p w14:paraId="4AC490E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去除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批量编辑全部资产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功能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。</w:t>
      </w:r>
    </w:p>
    <w:p w14:paraId="3ED0B60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去除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错误信息导出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功能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658C946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增加导入导出功能。</w:t>
      </w:r>
    </w:p>
    <w:p w14:paraId="7DF54DD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增加变动导出模板配置功能。——待讨论</w:t>
      </w:r>
    </w:p>
    <w:p w14:paraId="329A758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增加“当前页签校验信息”部分【隐藏/展开】功能。</w:t>
      </w:r>
    </w:p>
    <w:p w14:paraId="223D438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交互逻辑说明</w:t>
      </w:r>
    </w:p>
    <w:p w14:paraId="069CCDC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整体页面</w:t>
      </w:r>
    </w:p>
    <w:p w14:paraId="065A51A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资产信息按照卡片类型，通过页签切换形式分别展示对应资产信息数据，页签内容长度超出区域的部分，可通过点击左/右侧的方向箭头进行滑动。</w:t>
      </w:r>
    </w:p>
    <w:p w14:paraId="0D5D6FE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若当前页签存在已修改但未暂存数据，切换页签时提示：“存在未保存数据，切换页签后将丢失，是否继续”，点击【确定】后切换页签，点击【取消】后取消页签切换操作。</w:t>
      </w:r>
    </w:p>
    <w:p w14:paraId="53FF13B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资产信息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卡片类型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包含数据条数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为0的页签，不显示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；在页签左上方展示全部信息卡数量，展示格式为：“信息卡总数 144 张”</w:t>
      </w: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466F34D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页签展示页签名称和该页签包含信息卡数量。</w:t>
      </w:r>
    </w:p>
    <w:p w14:paraId="1371973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页面内容区域分为上下两部分，分别为“资产信息编辑”和“校验信息展示”，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上半部分占70%，下半部分占30%，，两</w:t>
      </w:r>
      <w:r>
        <w:rPr>
          <w:rFonts w:hint="eastAsia"/>
          <w:sz w:val="24"/>
          <w:szCs w:val="24"/>
          <w:lang w:val="en-US" w:eastAsia="zh-CN"/>
        </w:rPr>
        <w:t>部分的内容超出区域，会有横纵滚动条，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下半部分支持拖拽调整高度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 w14:paraId="0DAD409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“资产信息编辑”区域，以列表形式展示资产信息，用户可在列表单元格中直接编辑可编辑项，翻页时自动执行暂存操作。列表展示效果如下：</w:t>
      </w:r>
    </w:p>
    <w:p w14:paraId="244A39F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无问题行无底色；</w:t>
      </w:r>
    </w:p>
    <w:p w14:paraId="638FAD3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有问题行浅粉底色；</w:t>
      </w:r>
    </w:p>
    <w:p w14:paraId="4246EEB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问题单元格浅红底色；</w:t>
      </w:r>
    </w:p>
    <w:p w14:paraId="7E11821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行选中时底色浅蓝；</w:t>
      </w:r>
    </w:p>
    <w:p w14:paraId="38AFF18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固定列到序列号。</w:t>
      </w:r>
    </w:p>
    <w:p w14:paraId="369D4F8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“校验信息展示”区域在初始进入“资产信息批量修改”页面时，默认为隐藏状态（如图1所示），可通过点击【展开】按钮或执行校验操作，展开“校验信息展示”区域（展开效果如图2所示）。</w:t>
      </w:r>
    </w:p>
    <w:p w14:paraId="5CFC1B8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资产信息模糊查询功能</w:t>
      </w:r>
    </w:p>
    <w:p w14:paraId="53E676E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支持资产编号和资产名称模糊查询；</w:t>
      </w:r>
    </w:p>
    <w:p w14:paraId="4F5F293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执行数据范围是当前标签。</w:t>
      </w:r>
    </w:p>
    <w:p w14:paraId="0ACB32A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是否只展示错误数据功能</w:t>
      </w:r>
    </w:p>
    <w:p w14:paraId="39BA3D8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通过点击“是否只展示错误数据”开关，设置页面只展示校验有问题的资产信息数据；</w:t>
      </w:r>
    </w:p>
    <w:p w14:paraId="699A3AA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打开开关自动检查当前页签，切换页签自动检查</w:t>
      </w:r>
    </w:p>
    <w:p w14:paraId="2137457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资产信息编辑列表表头操作功能</w:t>
      </w:r>
    </w:p>
    <w:p w14:paraId="3F41B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资产信息编辑列表“上半部分表格”的表头</w:t>
      </w:r>
      <w:r>
        <w:rPr>
          <w:rFonts w:hint="eastAsia"/>
          <w:sz w:val="24"/>
          <w:szCs w:val="24"/>
          <w:lang w:val="en-US" w:eastAsia="zh-CN"/>
        </w:rPr>
        <w:t>采用下拉的交互样式展示可执行的操作</w:t>
      </w:r>
      <w:r>
        <w:rPr>
          <w:rFonts w:hint="eastAsia"/>
          <w:sz w:val="24"/>
          <w:szCs w:val="24"/>
          <w:highlight w:val="none"/>
          <w:lang w:val="en-US" w:eastAsia="zh-CN"/>
        </w:rPr>
        <w:t>，所有操作类型包含：排序、筛选、列编辑操作按钮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eastAsia"/>
          <w:sz w:val="24"/>
          <w:szCs w:val="24"/>
          <w:highlight w:val="none"/>
          <w:lang w:val="en-US" w:eastAsia="zh-CN"/>
        </w:rPr>
        <w:t>如图5所示：</w:t>
      </w:r>
    </w:p>
    <w:p w14:paraId="44E28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3952875" cy="3581400"/>
            <wp:effectExtent l="0" t="0" r="9525" b="0"/>
            <wp:docPr id="19" name="图片 19" descr="4b94f30e-5f8b-4d2d-ad89-aa0e08398d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b94f30e-5f8b-4d2d-ad89-aa0e08398d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E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jc w:val="center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图5 资产信息编辑列表表头按钮示例</w:t>
      </w:r>
    </w:p>
    <w:p w14:paraId="0D159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各按钮交互逻辑</w:t>
      </w:r>
      <w:r>
        <w:rPr>
          <w:rFonts w:hint="eastAsia"/>
          <w:sz w:val="24"/>
          <w:szCs w:val="24"/>
          <w:highlight w:val="none"/>
          <w:lang w:val="en-US" w:eastAsia="zh-CN"/>
        </w:rPr>
        <w:t>如下：</w:t>
      </w:r>
    </w:p>
    <w:p w14:paraId="24AA07F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2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列编辑：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编辑列表中的一列数据。具体要求如下：</w:t>
      </w:r>
    </w:p>
    <w:p w14:paraId="35C1134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只有可编辑列展示此操作；</w:t>
      </w:r>
    </w:p>
    <w:p w14:paraId="660E70D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数据范围：当前页签下数据，若已通过筛选条件进行筛选，则只编辑筛选后的单元格数据；</w:t>
      </w:r>
    </w:p>
    <w:p w14:paraId="1E8F9F6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点击编辑图标展示编辑操作弹窗，支持文本类、日期类、枚举类数据编辑，各类型编辑弹窗如下表所示：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6912"/>
      </w:tblGrid>
      <w:tr w14:paraId="27DA2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shd w:val="clear" w:color="auto" w:fill="E7E6E6" w:themeFill="background2"/>
            <w:vAlign w:val="center"/>
          </w:tcPr>
          <w:p w14:paraId="6142AC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数据分类</w:t>
            </w:r>
          </w:p>
        </w:tc>
        <w:tc>
          <w:tcPr>
            <w:tcW w:w="6908" w:type="dxa"/>
            <w:shd w:val="clear" w:color="auto" w:fill="E7E6E6" w:themeFill="background2"/>
            <w:vAlign w:val="center"/>
          </w:tcPr>
          <w:p w14:paraId="16652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示例</w:t>
            </w:r>
          </w:p>
        </w:tc>
      </w:tr>
      <w:tr w14:paraId="2D5BB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Align w:val="center"/>
          </w:tcPr>
          <w:p w14:paraId="297F2C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文本</w:t>
            </w:r>
          </w:p>
        </w:tc>
        <w:tc>
          <w:tcPr>
            <w:tcW w:w="6908" w:type="dxa"/>
            <w:vAlign w:val="center"/>
          </w:tcPr>
          <w:p w14:paraId="020CE7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2362835" cy="968375"/>
                  <wp:effectExtent l="0" t="0" r="14605" b="6985"/>
                  <wp:docPr id="13" name="图片 13" descr="db3caff1-5ce1-4a4d-a799-560cc1e53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db3caff1-5ce1-4a4d-a799-560cc1e535c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835" cy="96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928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Align w:val="center"/>
          </w:tcPr>
          <w:p w14:paraId="7FF80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6908" w:type="dxa"/>
            <w:vAlign w:val="center"/>
          </w:tcPr>
          <w:p w14:paraId="3EE785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2348230" cy="2137410"/>
                  <wp:effectExtent l="0" t="0" r="13970" b="11430"/>
                  <wp:docPr id="15" name="图片 15" descr="1e4f77d4-cef2-4ab1-9a0d-eb5036038b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1e4f77d4-cef2-4ab1-9a0d-eb5036038b2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230" cy="213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5A7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restart"/>
            <w:vAlign w:val="center"/>
          </w:tcPr>
          <w:p w14:paraId="0A86CF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枚举</w:t>
            </w:r>
          </w:p>
        </w:tc>
        <w:tc>
          <w:tcPr>
            <w:tcW w:w="6908" w:type="dxa"/>
            <w:vAlign w:val="center"/>
          </w:tcPr>
          <w:p w14:paraId="3FFC45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第一步：同时满足下拉和弹窗两种交互</w:t>
            </w:r>
          </w:p>
          <w:p w14:paraId="021EED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2368550" cy="949960"/>
                  <wp:effectExtent l="0" t="0" r="8890" b="10160"/>
                  <wp:docPr id="17" name="图片 17" descr="9e4aa3b7-dc69-4f03-9489-329411c29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9e4aa3b7-dc69-4f03-9489-329411c2931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550" cy="94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C1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vMerge w:val="continue"/>
            <w:vAlign w:val="center"/>
          </w:tcPr>
          <w:p w14:paraId="731292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8" w:type="dxa"/>
            <w:vAlign w:val="center"/>
          </w:tcPr>
          <w:p w14:paraId="646F7E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第二步（点击数据显示框后）：</w:t>
            </w:r>
          </w:p>
          <w:p w14:paraId="508A6F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4240530" cy="2531110"/>
                  <wp:effectExtent l="0" t="0" r="11430" b="13970"/>
                  <wp:docPr id="16" name="图片 16" descr="f659dba5-77c6-4dba-9892-95af2e408a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f659dba5-77c6-4dba-9892-95af2e408a8b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530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C4505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2" w:firstLineChars="20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列筛选：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可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按条件筛选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分为“文本类”、“数值类”、“日期类”、“枚举类”，根据字段类型判断筛选条件。如下所示：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3050"/>
        <w:gridCol w:w="4040"/>
      </w:tblGrid>
      <w:tr w14:paraId="6ED0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1432" w:type="dxa"/>
            <w:shd w:val="clear" w:color="auto" w:fill="E7E6E6" w:themeFill="background2"/>
            <w:vAlign w:val="center"/>
          </w:tcPr>
          <w:p w14:paraId="67A9D12B">
            <w:pPr>
              <w:numPr>
                <w:ilvl w:val="0"/>
                <w:numId w:val="0"/>
              </w:numPr>
              <w:bidi w:val="0"/>
              <w:spacing w:line="240" w:lineRule="auto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筛选类型</w:t>
            </w:r>
          </w:p>
        </w:tc>
        <w:tc>
          <w:tcPr>
            <w:tcW w:w="3050" w:type="dxa"/>
            <w:shd w:val="clear" w:color="auto" w:fill="E7E6E6" w:themeFill="background2"/>
            <w:vAlign w:val="center"/>
          </w:tcPr>
          <w:p w14:paraId="7191E347">
            <w:pPr>
              <w:numPr>
                <w:ilvl w:val="0"/>
                <w:numId w:val="0"/>
              </w:numPr>
              <w:bidi w:val="0"/>
              <w:spacing w:line="240" w:lineRule="auto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条件类型</w:t>
            </w:r>
          </w:p>
        </w:tc>
        <w:tc>
          <w:tcPr>
            <w:tcW w:w="4040" w:type="dxa"/>
            <w:shd w:val="clear" w:color="auto" w:fill="E7E6E6" w:themeFill="background2"/>
            <w:vAlign w:val="center"/>
          </w:tcPr>
          <w:p w14:paraId="5E1C04B5">
            <w:pPr>
              <w:numPr>
                <w:ilvl w:val="0"/>
                <w:numId w:val="0"/>
              </w:numPr>
              <w:bidi w:val="0"/>
              <w:spacing w:line="240" w:lineRule="auto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0817D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2" w:type="dxa"/>
            <w:vAlign w:val="center"/>
          </w:tcPr>
          <w:p w14:paraId="7172FBD0">
            <w:pPr>
              <w:numPr>
                <w:ilvl w:val="0"/>
                <w:numId w:val="0"/>
              </w:numPr>
              <w:bidi w:val="0"/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数值类</w:t>
            </w:r>
          </w:p>
        </w:tc>
        <w:tc>
          <w:tcPr>
            <w:tcW w:w="3050" w:type="dxa"/>
          </w:tcPr>
          <w:p w14:paraId="7F8AED05">
            <w:pPr>
              <w:numPr>
                <w:ilvl w:val="0"/>
                <w:numId w:val="0"/>
              </w:numPr>
              <w:bidi w:val="0"/>
              <w:spacing w:line="24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sz w:val="21"/>
                <w:szCs w:val="21"/>
              </w:rPr>
              <w:drawing>
                <wp:inline distT="0" distB="0" distL="114300" distR="114300">
                  <wp:extent cx="1488440" cy="2122170"/>
                  <wp:effectExtent l="0" t="0" r="5080" b="11430"/>
                  <wp:docPr id="2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440" cy="2122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0" w:type="dxa"/>
          </w:tcPr>
          <w:p w14:paraId="2D1FD810">
            <w:pPr>
              <w:numPr>
                <w:ilvl w:val="0"/>
                <w:numId w:val="0"/>
              </w:numPr>
              <w:bidi w:val="0"/>
              <w:spacing w:line="24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1.介于、不介于为区间值，如下。</w:t>
            </w:r>
          </w:p>
          <w:p w14:paraId="623DDE73">
            <w:pPr>
              <w:numPr>
                <w:ilvl w:val="0"/>
                <w:numId w:val="0"/>
              </w:numPr>
              <w:bidi w:val="0"/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114300" distR="114300">
                  <wp:extent cx="1638300" cy="673100"/>
                  <wp:effectExtent l="0" t="0" r="7620" b="12700"/>
                  <wp:docPr id="2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93816C">
            <w:pPr>
              <w:numPr>
                <w:ilvl w:val="0"/>
                <w:numId w:val="0"/>
              </w:numPr>
              <w:bidi w:val="0"/>
              <w:spacing w:line="240" w:lineRule="auto"/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2.其他选项为单值，如下。</w:t>
            </w:r>
          </w:p>
          <w:p w14:paraId="12312455">
            <w:pPr>
              <w:numPr>
                <w:ilvl w:val="0"/>
                <w:numId w:val="0"/>
              </w:numPr>
              <w:bidi w:val="0"/>
              <w:spacing w:line="240" w:lineRule="auto"/>
              <w:ind w:lef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1644650" cy="685800"/>
                  <wp:effectExtent l="0" t="0" r="1270" b="0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3F4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1432" w:type="dxa"/>
            <w:vAlign w:val="center"/>
          </w:tcPr>
          <w:p w14:paraId="289C6D2C">
            <w:pPr>
              <w:numPr>
                <w:ilvl w:val="0"/>
                <w:numId w:val="0"/>
              </w:numPr>
              <w:bidi w:val="0"/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文本类</w:t>
            </w:r>
          </w:p>
        </w:tc>
        <w:tc>
          <w:tcPr>
            <w:tcW w:w="3050" w:type="dxa"/>
          </w:tcPr>
          <w:p w14:paraId="7CCAB53A">
            <w:pPr>
              <w:numPr>
                <w:ilvl w:val="0"/>
                <w:numId w:val="0"/>
              </w:numPr>
              <w:bidi w:val="0"/>
              <w:spacing w:line="24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600200" cy="1320800"/>
                  <wp:effectExtent l="0" t="0" r="0" b="5080"/>
                  <wp:docPr id="2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0" w:type="dxa"/>
          </w:tcPr>
          <w:p w14:paraId="20DDA7C8">
            <w:pPr>
              <w:numPr>
                <w:ilvl w:val="0"/>
                <w:numId w:val="0"/>
              </w:numPr>
              <w:bidi w:val="0"/>
              <w:spacing w:line="24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1.选项均为单值，如下。</w:t>
            </w:r>
          </w:p>
          <w:p w14:paraId="57C598C6">
            <w:pPr>
              <w:numPr>
                <w:ilvl w:val="0"/>
                <w:numId w:val="0"/>
              </w:numPr>
              <w:bidi w:val="0"/>
              <w:spacing w:line="24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682750" cy="692150"/>
                  <wp:effectExtent l="0" t="0" r="8890" b="8890"/>
                  <wp:docPr id="2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69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C73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atLeast"/>
        </w:trPr>
        <w:tc>
          <w:tcPr>
            <w:tcW w:w="1432" w:type="dxa"/>
            <w:vAlign w:val="center"/>
          </w:tcPr>
          <w:p w14:paraId="47D2130C">
            <w:pPr>
              <w:numPr>
                <w:ilvl w:val="0"/>
                <w:numId w:val="0"/>
              </w:numPr>
              <w:bidi w:val="0"/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日期类</w:t>
            </w:r>
          </w:p>
        </w:tc>
        <w:tc>
          <w:tcPr>
            <w:tcW w:w="3050" w:type="dxa"/>
          </w:tcPr>
          <w:p w14:paraId="789F80B4">
            <w:pPr>
              <w:numPr>
                <w:ilvl w:val="0"/>
                <w:numId w:val="0"/>
              </w:numPr>
              <w:bidi w:val="0"/>
              <w:spacing w:line="24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568450" cy="1771650"/>
                  <wp:effectExtent l="0" t="0" r="1270" b="11430"/>
                  <wp:docPr id="2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0" w:type="dxa"/>
          </w:tcPr>
          <w:p w14:paraId="41C09C02">
            <w:pPr>
              <w:numPr>
                <w:ilvl w:val="0"/>
                <w:numId w:val="0"/>
              </w:numPr>
              <w:bidi w:val="0"/>
              <w:spacing w:line="240" w:lineRule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1.介于、不介于为区间值，如下。</w:t>
            </w:r>
          </w:p>
          <w:p w14:paraId="1FDFCD29">
            <w:pPr>
              <w:numPr>
                <w:ilvl w:val="0"/>
                <w:numId w:val="0"/>
              </w:numPr>
              <w:bidi w:val="0"/>
              <w:spacing w:line="240" w:lineRule="auto"/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1625600" cy="673100"/>
                  <wp:effectExtent l="0" t="0" r="5080" b="12700"/>
                  <wp:docPr id="3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3CDB0">
            <w:pPr>
              <w:numPr>
                <w:ilvl w:val="0"/>
                <w:numId w:val="0"/>
              </w:numPr>
              <w:bidi w:val="0"/>
              <w:spacing w:line="240" w:lineRule="auto"/>
              <w:ind w:lef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2.其他选项为单值，如下。</w:t>
            </w:r>
          </w:p>
          <w:p w14:paraId="01176B55">
            <w:pPr>
              <w:numPr>
                <w:ilvl w:val="0"/>
                <w:numId w:val="0"/>
              </w:numPr>
              <w:bidi w:val="0"/>
              <w:spacing w:line="240" w:lineRule="auto"/>
            </w:pPr>
            <w:r>
              <w:drawing>
                <wp:inline distT="0" distB="0" distL="114300" distR="114300">
                  <wp:extent cx="1606550" cy="304800"/>
                  <wp:effectExtent l="0" t="0" r="8890" b="0"/>
                  <wp:docPr id="2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DAB0A">
            <w:pPr>
              <w:numPr>
                <w:ilvl w:val="0"/>
                <w:numId w:val="0"/>
              </w:numPr>
              <w:bidi w:val="0"/>
              <w:spacing w:line="240" w:lineRule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625600" cy="311150"/>
                  <wp:effectExtent l="0" t="0" r="5080" b="8890"/>
                  <wp:docPr id="3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DDA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</w:trPr>
        <w:tc>
          <w:tcPr>
            <w:tcW w:w="1432" w:type="dxa"/>
            <w:vAlign w:val="center"/>
          </w:tcPr>
          <w:p w14:paraId="136A1B5D">
            <w:pPr>
              <w:numPr>
                <w:ilvl w:val="0"/>
                <w:numId w:val="0"/>
              </w:numPr>
              <w:bidi w:val="0"/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枚举类</w:t>
            </w:r>
          </w:p>
        </w:tc>
        <w:tc>
          <w:tcPr>
            <w:tcW w:w="3050" w:type="dxa"/>
          </w:tcPr>
          <w:p w14:paraId="1160E30B">
            <w:pPr>
              <w:numPr>
                <w:ilvl w:val="0"/>
                <w:numId w:val="0"/>
              </w:numPr>
              <w:bidi w:val="0"/>
              <w:spacing w:line="24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485900" cy="482600"/>
                  <wp:effectExtent l="0" t="0" r="7620" b="5080"/>
                  <wp:docPr id="3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0" w:type="dxa"/>
          </w:tcPr>
          <w:p w14:paraId="73428D2A">
            <w:pPr>
              <w:numPr>
                <w:ilvl w:val="0"/>
                <w:numId w:val="0"/>
              </w:numPr>
              <w:bidi w:val="0"/>
              <w:spacing w:line="24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default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选择器需要同时支持下拉和弹窗交互</w:t>
            </w:r>
            <w:r>
              <w:rPr>
                <w:rFonts w:hint="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</w:tbl>
    <w:p w14:paraId="5B6BB5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73DCBCF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列排序：</w:t>
      </w:r>
    </w:p>
    <w:p w14:paraId="318ABD2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分为默认、升序、降序三个互斥选项；</w:t>
      </w:r>
    </w:p>
    <w:p w14:paraId="15E2060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每列排序规则只能有一个，开启后则另一个失效。</w:t>
      </w:r>
    </w:p>
    <w:p w14:paraId="77255DB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列锁定：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点击开关，锁定当前列，不随过年滚动条左右滑动。锁定列按操作先后顺序展示在列表前方。</w:t>
      </w:r>
    </w:p>
    <w:p w14:paraId="7ECAF0D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批量编辑已选资产功能</w:t>
      </w:r>
    </w:p>
    <w:p w14:paraId="40921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“批量编辑已选资产”功能是对当前页签下多条已选数据的多项信息进行统一修改，修改后，所涉及的资产卡片信息项的值将相同。具体功能逻辑如下：</w:t>
      </w:r>
    </w:p>
    <w:p w14:paraId="64A7306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执行数据范围：当前页签下的已选数据。</w:t>
      </w:r>
    </w:p>
    <w:p w14:paraId="5C88E32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批量修改步骤：至少选中一条待修改数据 -&gt; 点击【批量编辑已选资产】按钮，打开操作弹窗 -&gt; 选择本次批量修改的字段（页面如图3所示） -&gt; 点击【下一步】按钮进入批量修改页面，填写修改项内容（页面如图4所示） -&gt; 点击【确定】按钮完成修改。</w:t>
      </w:r>
    </w:p>
    <w:p w14:paraId="3690DA7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“选择本次批量修改的字段”页面（图3）只展示可编辑字段。</w:t>
      </w:r>
    </w:p>
    <w:p w14:paraId="1111055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导入/导出功能</w:t>
      </w:r>
    </w:p>
    <w:p w14:paraId="202891D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执行数据范围：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导入/导出操作是所有页签、所有数据整体导入/导出。</w:t>
      </w:r>
    </w:p>
    <w:p w14:paraId="686A530A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导出文件要求：</w:t>
      </w:r>
    </w:p>
    <w:p w14:paraId="0FEDA58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导出excel表格，区分可编辑字段与不可编辑字段，不可编辑字段设置浅灰底色；</w:t>
      </w:r>
    </w:p>
    <w:p w14:paraId="040F493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导出时先执行全部页签数据校验，给予校验有问题的字段红色底色以及校验信息提示，如图8所示：</w:t>
      </w:r>
    </w:p>
    <w:p w14:paraId="51E8D82A"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3583305" cy="585470"/>
            <wp:effectExtent l="0" t="0" r="1333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3305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5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jc w:val="center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图8 导出文件校验有问题字段提示示例</w:t>
      </w:r>
    </w:p>
    <w:p w14:paraId="3F9BAB56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导入文件要求：</w:t>
      </w:r>
    </w:p>
    <w:p w14:paraId="43077AD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导入文件格式应与导出文件保持一致；</w:t>
      </w:r>
    </w:p>
    <w:p w14:paraId="6B01D404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不可编辑字段不更新，一系统为准；</w:t>
      </w:r>
    </w:p>
    <w:p w14:paraId="6A1CB35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导入后自动执行运行时赋值公式；</w:t>
      </w:r>
    </w:p>
    <w:p w14:paraId="7A331094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导入数据后，无需自动自动执行校验（在最终提交保存时强制校验）。</w:t>
      </w:r>
    </w:p>
    <w:p w14:paraId="2378155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当前页签数据校验功能</w:t>
      </w:r>
    </w:p>
    <w:p w14:paraId="3EB7DEA0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执行数据范围：当前页签所对应的资产信息卡片类型全部数据。</w:t>
      </w:r>
    </w:p>
    <w:p w14:paraId="7DDD73E7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点击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【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当前页签数据校验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】按钮后，页面展示loading页，提示：“正在校验，请耐心等待”。</w:t>
      </w:r>
    </w:p>
    <w:p w14:paraId="1923EC4C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校验错误信息展示：</w:t>
      </w:r>
    </w:p>
    <w:p w14:paraId="4E0B2DE1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以列表形式展示当前页签资产信息校验错误信息，列表字段包含序号、错误信息、所在行；</w:t>
      </w:r>
    </w:p>
    <w:p w14:paraId="2D2EDEC2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错误信息列表每一行展示一个单元格的错误信息，属于同一行资产信息的在相邻行展示，并按单元格前后顺序排列，如图9所示：</w:t>
      </w:r>
    </w:p>
    <w:p w14:paraId="5A4BE3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drawing>
          <wp:inline distT="0" distB="0" distL="114300" distR="114300">
            <wp:extent cx="5000625" cy="617220"/>
            <wp:effectExtent l="0" t="0" r="13335" b="762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17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03D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jc w:val="center"/>
        <w:textAlignment w:val="auto"/>
        <w:rPr>
          <w:rFonts w:hint="default" w:ascii="黑体" w:hAnsi="黑体" w:eastAsia="黑体" w:cs="黑体"/>
          <w:highlight w:val="none"/>
          <w:lang w:val="en-US" w:eastAsia="zh-CN"/>
        </w:rPr>
      </w:pPr>
      <w:r>
        <w:rPr>
          <w:rFonts w:hint="eastAsia" w:ascii="黑体" w:hAnsi="黑体" w:eastAsia="黑体" w:cs="黑体"/>
          <w:highlight w:val="none"/>
          <w:lang w:val="en-US" w:eastAsia="zh-CN"/>
        </w:rPr>
        <w:t>图9 错误信息展示示例</w:t>
      </w:r>
    </w:p>
    <w:p w14:paraId="6831ADF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点击错误信息所在列表行，自动锚点定位到问题对应的上半部分（资产信息列表）资产信息所在单元格，若锚点位置需要翻页，则先暂存当前页数据，然后翻页。</w:t>
      </w:r>
    </w:p>
    <w:p w14:paraId="733B6C3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取消、暂存、确定按钮功能</w:t>
      </w:r>
    </w:p>
    <w:p w14:paraId="37130913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【取消】按钮：点击页面下方【取消】按钮，提示“退出页面后，未保存数据将丢失，是否确认退出”，确认后关闭“批量修改”页面，“取消”后此页面保持不动。提示框如图10所示：</w:t>
      </w:r>
    </w:p>
    <w:p w14:paraId="7A6D9C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2351405" cy="1264285"/>
            <wp:effectExtent l="0" t="0" r="10795" b="635"/>
            <wp:docPr id="9" name="图片 9" descr="802bb088-0731-4373-9811-d9ba8280c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802bb088-0731-4373-9811-d9ba8280c6b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5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00" w:lineRule="auto"/>
        <w:jc w:val="center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图10 退出页面提示示例</w:t>
      </w:r>
    </w:p>
    <w:p w14:paraId="3F170814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【暂存】按钮：点击页面下方【暂存】按钮，暂存当前页签修改的所有数据，自动执行运行时赋值公式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。</w:t>
      </w:r>
    </w:p>
    <w:p w14:paraId="605B059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【确定】按钮：点击右下角【确定】按钮，系统自动进行全部数据的校验，完全通过后提交保存；保存成功前，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页面展示loading页，提示：“正在保存，请耐心等待”。</w:t>
      </w:r>
    </w:p>
    <w:p w14:paraId="4231D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8AD59"/>
    <w:multiLevelType w:val="singleLevel"/>
    <w:tmpl w:val="86A8AD5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8BCF7E8E"/>
    <w:multiLevelType w:val="singleLevel"/>
    <w:tmpl w:val="8BCF7E8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90E3C7B3"/>
    <w:multiLevelType w:val="singleLevel"/>
    <w:tmpl w:val="90E3C7B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92740EC7"/>
    <w:multiLevelType w:val="singleLevel"/>
    <w:tmpl w:val="92740EC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9342D9F3"/>
    <w:multiLevelType w:val="singleLevel"/>
    <w:tmpl w:val="9342D9F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C85BC20A"/>
    <w:multiLevelType w:val="multilevel"/>
    <w:tmpl w:val="C85BC20A"/>
    <w:lvl w:ilvl="0" w:tentative="0">
      <w:start w:val="1"/>
      <w:numFmt w:val="decimal"/>
      <w:pStyle w:val="5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6">
    <w:nsid w:val="CB766F2D"/>
    <w:multiLevelType w:val="singleLevel"/>
    <w:tmpl w:val="CB766F2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D9B400E5"/>
    <w:multiLevelType w:val="singleLevel"/>
    <w:tmpl w:val="D9B400E5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F095D2EB"/>
    <w:multiLevelType w:val="singleLevel"/>
    <w:tmpl w:val="F095D2E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F13CCF9F"/>
    <w:multiLevelType w:val="singleLevel"/>
    <w:tmpl w:val="F13CCF9F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F8289104"/>
    <w:multiLevelType w:val="singleLevel"/>
    <w:tmpl w:val="F828910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03AAC93D"/>
    <w:multiLevelType w:val="singleLevel"/>
    <w:tmpl w:val="03AAC93D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2F658A7B"/>
    <w:multiLevelType w:val="singleLevel"/>
    <w:tmpl w:val="2F658A7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3CD28ADE"/>
    <w:multiLevelType w:val="multilevel"/>
    <w:tmpl w:val="3CD28ADE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4">
    <w:nsid w:val="4B50E88B"/>
    <w:multiLevelType w:val="singleLevel"/>
    <w:tmpl w:val="4B50E88B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3"/>
  </w:num>
  <w:num w:numId="2">
    <w:abstractNumId w:val="5"/>
  </w:num>
  <w:num w:numId="3">
    <w:abstractNumId w:val="11"/>
  </w:num>
  <w:num w:numId="4">
    <w:abstractNumId w:val="2"/>
  </w:num>
  <w:num w:numId="5">
    <w:abstractNumId w:val="9"/>
  </w:num>
  <w:num w:numId="6">
    <w:abstractNumId w:val="10"/>
  </w:num>
  <w:num w:numId="7">
    <w:abstractNumId w:val="7"/>
  </w:num>
  <w:num w:numId="8">
    <w:abstractNumId w:val="1"/>
  </w:num>
  <w:num w:numId="9">
    <w:abstractNumId w:val="8"/>
  </w:num>
  <w:num w:numId="10">
    <w:abstractNumId w:val="4"/>
  </w:num>
  <w:num w:numId="11">
    <w:abstractNumId w:val="14"/>
  </w:num>
  <w:num w:numId="12">
    <w:abstractNumId w:val="6"/>
  </w:num>
  <w:num w:numId="13">
    <w:abstractNumId w:val="12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C024B"/>
    <w:rsid w:val="007A6F63"/>
    <w:rsid w:val="00970094"/>
    <w:rsid w:val="0123584C"/>
    <w:rsid w:val="014632E9"/>
    <w:rsid w:val="01A73D87"/>
    <w:rsid w:val="01BD43CF"/>
    <w:rsid w:val="01DB1C83"/>
    <w:rsid w:val="01FA0EB1"/>
    <w:rsid w:val="0286480C"/>
    <w:rsid w:val="02FA63BF"/>
    <w:rsid w:val="0381697D"/>
    <w:rsid w:val="039C5442"/>
    <w:rsid w:val="04501303"/>
    <w:rsid w:val="06143F69"/>
    <w:rsid w:val="06B238FA"/>
    <w:rsid w:val="070457D8"/>
    <w:rsid w:val="07FA3DBD"/>
    <w:rsid w:val="08D31906"/>
    <w:rsid w:val="08E92ED7"/>
    <w:rsid w:val="09864BCA"/>
    <w:rsid w:val="0AD916A4"/>
    <w:rsid w:val="0B0B70F8"/>
    <w:rsid w:val="0B4E5BBB"/>
    <w:rsid w:val="0B964DA6"/>
    <w:rsid w:val="0BE8397E"/>
    <w:rsid w:val="0BEC0FCE"/>
    <w:rsid w:val="0C2C7CAB"/>
    <w:rsid w:val="0CA02447"/>
    <w:rsid w:val="0CB85138"/>
    <w:rsid w:val="0CEB1914"/>
    <w:rsid w:val="0CFF716D"/>
    <w:rsid w:val="0DB937C0"/>
    <w:rsid w:val="0DEF69F4"/>
    <w:rsid w:val="0F421593"/>
    <w:rsid w:val="111B64C0"/>
    <w:rsid w:val="120D49C2"/>
    <w:rsid w:val="138403CC"/>
    <w:rsid w:val="14755F67"/>
    <w:rsid w:val="14C52A4A"/>
    <w:rsid w:val="14EF3F6B"/>
    <w:rsid w:val="14FA3D2C"/>
    <w:rsid w:val="15311E8E"/>
    <w:rsid w:val="158C17BA"/>
    <w:rsid w:val="15A308B2"/>
    <w:rsid w:val="16813C02"/>
    <w:rsid w:val="172D7075"/>
    <w:rsid w:val="17507852"/>
    <w:rsid w:val="17A032FB"/>
    <w:rsid w:val="17C74238"/>
    <w:rsid w:val="1813553D"/>
    <w:rsid w:val="182C5FCC"/>
    <w:rsid w:val="189310B2"/>
    <w:rsid w:val="1A5605E9"/>
    <w:rsid w:val="1B852F33"/>
    <w:rsid w:val="1BBA703B"/>
    <w:rsid w:val="1BCF0653"/>
    <w:rsid w:val="1C006A5E"/>
    <w:rsid w:val="1CC05C77"/>
    <w:rsid w:val="1D15185D"/>
    <w:rsid w:val="1D331862"/>
    <w:rsid w:val="1D666D95"/>
    <w:rsid w:val="1DD86EC2"/>
    <w:rsid w:val="1E0D0FBE"/>
    <w:rsid w:val="1E804ED9"/>
    <w:rsid w:val="1F333B1E"/>
    <w:rsid w:val="1FC908AF"/>
    <w:rsid w:val="21D818E3"/>
    <w:rsid w:val="22535E5E"/>
    <w:rsid w:val="228201CD"/>
    <w:rsid w:val="23DC45C3"/>
    <w:rsid w:val="25237319"/>
    <w:rsid w:val="25B6018D"/>
    <w:rsid w:val="25E230A5"/>
    <w:rsid w:val="26D703BB"/>
    <w:rsid w:val="272F1FA5"/>
    <w:rsid w:val="27806CA5"/>
    <w:rsid w:val="27D8263D"/>
    <w:rsid w:val="27DA4607"/>
    <w:rsid w:val="28B51443"/>
    <w:rsid w:val="294D2680"/>
    <w:rsid w:val="29EE439A"/>
    <w:rsid w:val="2A1C2CB5"/>
    <w:rsid w:val="2A946CEF"/>
    <w:rsid w:val="2AE11467"/>
    <w:rsid w:val="2B365FF8"/>
    <w:rsid w:val="2B65068C"/>
    <w:rsid w:val="2BDF1527"/>
    <w:rsid w:val="2C7C5C8D"/>
    <w:rsid w:val="2D281971"/>
    <w:rsid w:val="2D746964"/>
    <w:rsid w:val="2D7F2A1C"/>
    <w:rsid w:val="2D8C63A3"/>
    <w:rsid w:val="2DB843CA"/>
    <w:rsid w:val="2EAE2349"/>
    <w:rsid w:val="2F7B4FA2"/>
    <w:rsid w:val="2FEC1210"/>
    <w:rsid w:val="30E879D3"/>
    <w:rsid w:val="320E382B"/>
    <w:rsid w:val="340547BA"/>
    <w:rsid w:val="34B26A32"/>
    <w:rsid w:val="35C34250"/>
    <w:rsid w:val="37BF1123"/>
    <w:rsid w:val="37C91822"/>
    <w:rsid w:val="37DC1CD5"/>
    <w:rsid w:val="37F94635"/>
    <w:rsid w:val="39AB1959"/>
    <w:rsid w:val="39D52E80"/>
    <w:rsid w:val="3A7A7584"/>
    <w:rsid w:val="3A9F086D"/>
    <w:rsid w:val="3B452CFE"/>
    <w:rsid w:val="3BD34DC7"/>
    <w:rsid w:val="3C1C6B44"/>
    <w:rsid w:val="3C667DC0"/>
    <w:rsid w:val="3C915C2A"/>
    <w:rsid w:val="3CB55AC3"/>
    <w:rsid w:val="3D421E06"/>
    <w:rsid w:val="3E3F4D6C"/>
    <w:rsid w:val="3E4979B5"/>
    <w:rsid w:val="3E5638B9"/>
    <w:rsid w:val="3F7A2ED0"/>
    <w:rsid w:val="3F982986"/>
    <w:rsid w:val="3FA52DF7"/>
    <w:rsid w:val="40AA1945"/>
    <w:rsid w:val="411053AE"/>
    <w:rsid w:val="41654AEA"/>
    <w:rsid w:val="42786A9F"/>
    <w:rsid w:val="4286740D"/>
    <w:rsid w:val="42DF08CC"/>
    <w:rsid w:val="44406A3F"/>
    <w:rsid w:val="446E2CF6"/>
    <w:rsid w:val="452D591E"/>
    <w:rsid w:val="45625783"/>
    <w:rsid w:val="4629283D"/>
    <w:rsid w:val="471057A1"/>
    <w:rsid w:val="47862F24"/>
    <w:rsid w:val="47961EA1"/>
    <w:rsid w:val="48650803"/>
    <w:rsid w:val="48817179"/>
    <w:rsid w:val="48E80A2C"/>
    <w:rsid w:val="496F0BFB"/>
    <w:rsid w:val="4E5377DA"/>
    <w:rsid w:val="4FFD541D"/>
    <w:rsid w:val="501A73E7"/>
    <w:rsid w:val="50975E24"/>
    <w:rsid w:val="50B415EA"/>
    <w:rsid w:val="51161F2D"/>
    <w:rsid w:val="519136D9"/>
    <w:rsid w:val="51AA0EB8"/>
    <w:rsid w:val="51B24883"/>
    <w:rsid w:val="51F15F26"/>
    <w:rsid w:val="52756B57"/>
    <w:rsid w:val="53146370"/>
    <w:rsid w:val="5422686A"/>
    <w:rsid w:val="542A3355"/>
    <w:rsid w:val="542B4785"/>
    <w:rsid w:val="54B716A8"/>
    <w:rsid w:val="54E7478C"/>
    <w:rsid w:val="563F3595"/>
    <w:rsid w:val="56992E7A"/>
    <w:rsid w:val="576F3EF8"/>
    <w:rsid w:val="58426C15"/>
    <w:rsid w:val="59AD6BD6"/>
    <w:rsid w:val="5A544645"/>
    <w:rsid w:val="5B44356A"/>
    <w:rsid w:val="5B9F641C"/>
    <w:rsid w:val="5C4946BC"/>
    <w:rsid w:val="5C7B120D"/>
    <w:rsid w:val="5EC60596"/>
    <w:rsid w:val="5F832D98"/>
    <w:rsid w:val="5FB52C88"/>
    <w:rsid w:val="606079EE"/>
    <w:rsid w:val="61E671FB"/>
    <w:rsid w:val="628C5F22"/>
    <w:rsid w:val="639952B6"/>
    <w:rsid w:val="64C0654B"/>
    <w:rsid w:val="64D3644C"/>
    <w:rsid w:val="65240823"/>
    <w:rsid w:val="6684624E"/>
    <w:rsid w:val="66862C89"/>
    <w:rsid w:val="66F91213"/>
    <w:rsid w:val="67545BDB"/>
    <w:rsid w:val="67694D5A"/>
    <w:rsid w:val="684929CC"/>
    <w:rsid w:val="687221D0"/>
    <w:rsid w:val="687952FC"/>
    <w:rsid w:val="68B43ADD"/>
    <w:rsid w:val="68E31C5D"/>
    <w:rsid w:val="693B767D"/>
    <w:rsid w:val="69943C3E"/>
    <w:rsid w:val="6ADF6E0B"/>
    <w:rsid w:val="6B382482"/>
    <w:rsid w:val="6BB4712E"/>
    <w:rsid w:val="6BD52E17"/>
    <w:rsid w:val="6CD72E43"/>
    <w:rsid w:val="6DEF55B7"/>
    <w:rsid w:val="701B2694"/>
    <w:rsid w:val="70B86DF1"/>
    <w:rsid w:val="70E10EAD"/>
    <w:rsid w:val="71A16BC9"/>
    <w:rsid w:val="73530396"/>
    <w:rsid w:val="740530CB"/>
    <w:rsid w:val="764D5571"/>
    <w:rsid w:val="76A72ED3"/>
    <w:rsid w:val="77A340BA"/>
    <w:rsid w:val="7879089F"/>
    <w:rsid w:val="790E0FE8"/>
    <w:rsid w:val="7945303A"/>
    <w:rsid w:val="79EB757B"/>
    <w:rsid w:val="7B07727D"/>
    <w:rsid w:val="7B4F7695"/>
    <w:rsid w:val="7B7A6B50"/>
    <w:rsid w:val="7D285395"/>
    <w:rsid w:val="7D3C4044"/>
    <w:rsid w:val="7DF54524"/>
    <w:rsid w:val="7F15557D"/>
    <w:rsid w:val="7F24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beforeLines="0" w:beforeAutospacing="0" w:after="120" w:afterLines="0" w:afterAutospacing="0" w:line="360" w:lineRule="auto"/>
      <w:ind w:left="0" w:firstLine="0"/>
      <w:jc w:val="left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120" w:beforeAutospacing="0" w:after="120" w:afterAutospacing="0" w:line="360" w:lineRule="auto"/>
      <w:jc w:val="left"/>
      <w:outlineLvl w:val="1"/>
    </w:pPr>
    <w:rPr>
      <w:rFonts w:hint="eastAsia" w:ascii="宋体" w:hAnsi="宋体" w:eastAsia="宋体" w:cs="宋体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2"/>
        <w:numId w:val="1"/>
      </w:num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paragraph" w:styleId="5">
    <w:name w:val="heading 5"/>
    <w:basedOn w:val="1"/>
    <w:next w:val="1"/>
    <w:link w:val="13"/>
    <w:semiHidden/>
    <w:unhideWhenUsed/>
    <w:qFormat/>
    <w:uiPriority w:val="0"/>
    <w:pPr>
      <w:numPr>
        <w:ilvl w:val="0"/>
        <w:numId w:val="2"/>
      </w:numPr>
      <w:spacing w:before="280" w:after="290" w:line="372" w:lineRule="auto"/>
      <w:outlineLvl w:val="4"/>
    </w:pPr>
    <w:rPr>
      <w:rFonts w:ascii="Calibri" w:hAnsi="Calibri" w:eastAsia="宋体" w:cs="Times New Roman"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Normal (Web)"/>
    <w:basedOn w:val="1"/>
    <w:qFormat/>
    <w:uiPriority w:val="0"/>
    <w:rPr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customStyle="1" w:styleId="13">
    <w:name w:val="标题 5 字符"/>
    <w:link w:val="5"/>
    <w:qFormat/>
    <w:uiPriority w:val="0"/>
    <w:rPr>
      <w:rFonts w:ascii="Calibri" w:hAnsi="Calibri" w:eastAsia="宋体" w:cs="Times New Roman"/>
      <w:b/>
      <w:kern w:val="44"/>
      <w:sz w:val="28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982</Words>
  <Characters>1037</Characters>
  <Lines>0</Lines>
  <Paragraphs>0</Paragraphs>
  <TotalTime>52</TotalTime>
  <ScaleCrop>false</ScaleCrop>
  <LinksUpToDate>false</LinksUpToDate>
  <CharactersWithSpaces>1042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2023-02-23T02:51:00Z</dcterms:created>
  <dc:creator>小憨憨</dc:creator>
  <cp:lastModifiedBy>TTH</cp:lastModifiedBy>
  <dcterms:modified xsi:type="dcterms:W3CDTF">2026-02-28T09:58:42Z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D3296CCE4ACB45E3B909D9AE40B64353</vt:lpwstr>
  </property>
  <property fmtid="{D5CDD505-2E9C-101B-9397-08002B2CF9AE}" pid="4" name="KSOTemplateDocerSaveRecord">
    <vt:lpwstr>eyJoZGlkIjoiODc3MzcyZTA5MzYzMTU5ZDA1ZDExMDc5OWNhZWY0ZjQiLCJ1c2VySWQiOiIxMTM1ODc2OTk1In0=</vt:lpwstr>
  </property>
</Properties>
</file>