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17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314C19A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OTA学习</w:t>
      </w:r>
    </w:p>
    <w:p w14:paraId="00D9F3D1">
      <w:pPr>
        <w:rPr>
          <w:rFonts w:hint="eastAsia"/>
          <w:lang w:val="en-US" w:eastAsia="zh-CN"/>
        </w:rPr>
      </w:pPr>
    </w:p>
    <w:p w14:paraId="4E963CA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OTA逻辑流程：</w:t>
      </w:r>
    </w:p>
    <w:p w14:paraId="023DF4F1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上电 → Bootloader →</w:t>
      </w:r>
    </w:p>
    <w:p w14:paraId="1C633021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读取标志区 →</w:t>
      </w:r>
    </w:p>
    <w:p w14:paraId="4E77A684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  ├─ 没有 OTA 标志 → 启动当前激活区 (A)</w:t>
      </w:r>
    </w:p>
    <w:p w14:paraId="1F61F863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  └─ 有 OTA 标志 → 校验新固件(B)</w:t>
      </w:r>
    </w:p>
    <w:p w14:paraId="410827CE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       ├─ CRC OK → 激活B, 启动B</w:t>
      </w:r>
    </w:p>
    <w:p w14:paraId="42B94464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       └─ CRC Fail → 清标志, 启动A</w:t>
      </w:r>
    </w:p>
    <w:p w14:paraId="187CFA27"/>
    <w:p w14:paraId="15634297"/>
    <w:p w14:paraId="4B5AC6FA"/>
    <w:p w14:paraId="7AD9CDF7">
      <w:r>
        <w:drawing>
          <wp:inline distT="0" distB="0" distL="114300" distR="114300">
            <wp:extent cx="5272405" cy="1215390"/>
            <wp:effectExtent l="0" t="0" r="444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45E51"/>
    <w:p w14:paraId="688DDB7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/>
          <w:lang w:val="en-US" w:eastAsia="zh-CN"/>
        </w:rPr>
        <w:t>该工程方案采用:</w:t>
      </w:r>
      <w:r>
        <w:rPr>
          <w:rStyle w:val="5"/>
          <w:rFonts w:ascii="宋体" w:hAnsi="宋体" w:eastAsia="宋体" w:cs="宋体"/>
          <w:sz w:val="24"/>
          <w:szCs w:val="24"/>
        </w:rPr>
        <w:t>没有独立 Bootloader</w:t>
      </w:r>
      <w:r>
        <w:rPr>
          <w:rFonts w:ascii="宋体" w:hAnsi="宋体" w:eastAsia="宋体" w:cs="宋体"/>
          <w:sz w:val="24"/>
          <w:szCs w:val="24"/>
        </w:rPr>
        <w:t xml:space="preserve"> 的“双分区自举系统”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即</w:t>
      </w:r>
      <w:r>
        <w:rPr>
          <w:rFonts w:ascii="宋体" w:hAnsi="宋体" w:eastAsia="宋体" w:cs="宋体"/>
          <w:sz w:val="24"/>
          <w:szCs w:val="24"/>
        </w:rPr>
        <w:t>A/B 程序自身都内置 Bootloader 逻辑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73EE64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1E78F70">
      <w:r>
        <w:drawing>
          <wp:inline distT="0" distB="0" distL="114300" distR="114300">
            <wp:extent cx="5273675" cy="3924300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1FD9C"/>
    <w:p w14:paraId="1F0BAFD0"/>
    <w:p w14:paraId="3B779F96">
      <w:r>
        <w:drawing>
          <wp:inline distT="0" distB="0" distL="114300" distR="114300">
            <wp:extent cx="5269865" cy="2370455"/>
            <wp:effectExtent l="0" t="0" r="698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4EA60"/>
    <w:p w14:paraId="7F224C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"https://chatgpt.com/share/68f5dd9b-f65c-8002-a215-5abbfbf83147"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https://chatgpt.com/share/68f5dd9b-f65c-8002-a215-5abbfbf83147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 chatgpt学习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CF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2025-10-20T05:55:56Z</dcterms:created>
  <dc:creator>MR</dc:creator>
  <cp:lastModifiedBy>De</cp:lastModifiedBy>
  <dcterms:modified xsi:type="dcterms:W3CDTF">2025-10-20T06:59:49Z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F9C4CC909B0C46BB81DC70336B15E894_12</vt:lpwstr>
  </property>
</Properties>
</file>