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Update系统架构设计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本文介绍了Update最主要功能：大包升级和小包升级的方案与流程，流程中状态机的变化，master-local组件的功能，和一些业务功能。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二、车载升级总体方案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解释说明：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OTA Master指的是升级主控。对于cECU而言，OTA master通常有两种表现形式：本地刷写，表现为升级上位机；整车OTA，表现为整车刷写主控，如SGMW UCU。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dji_doip_service指的是UDS/DoIP服务，用于接收从OTA Master发送的诊断报文。对于cECU而言，所有的升级数据都是基于诊断，遵循ISO14229。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dji_up_master和dji_up_local_x为cECU update业务后端进程主体，遵循分布式设计：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dji_up_master为update业务主控：负责真正接收基于诊断发送过来的升级文件；负责将接收到的升级文件向各个dji_up_local_x分发；负责管理整个升级业务状态机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dji_up_local_x为update业务刷写进程：负责执行具体SoC固件刷写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三、基于AB双分区升级方案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本Update系统基于AB双分区架构设计。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eMMC固有分区介绍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这里以当前量产项目(E300)的eMMC分区为例进行介绍，其他eMMC分区基本类似。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对于一颗8GB eMMC而言，其物理分区如下：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62550" cy="4467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如上图所示：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boot0/boot1区为boot区，目前主要用来存放miniboot(cburner)，默认不会更新（实际有更新的需求）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RPMB区主要用来存放一些重要的标志（如升级标志）及参数（如工厂可变参数）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UDA区即user data area，为主要的数据分区，用来存放所有大家看得见的数据：uboot、kernel、rootfs、dsar以及各种application等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eMMC双分区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基于eMMC固有分区，我们将UDA分区分了很多逻辑分区，其中某些分区为AB两份，有些分区为一份，如下图所示：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43250" cy="4743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如上图所示，将UDA分区分为以下主要的逻辑分区：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Slot A与Slot B：这两个为固件分区，存放所有的固件数据，每次启动只会选择其中一个分区来进行挂载与使用，而另一个分区作为备份分区不参与本次启动。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USER/Factory/Param分区：这几个分区对于A分区和B分区而言，只有一份，无论从A分区启动还是从B分区启动，都会使用这几个分区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对于update而言，每次只会更新A分区或者B分区中的数据。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基于AB双分区的升级方案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基于AB双分区的升级方案如下图所示：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如上图所示，本update方案基于AB双分区设计：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每次执行Update时，只会刷写Slot B，保证系统刷写安全性：即时刷写失败，或者中途退出，也不影响系统正常运行（不会执行切区，还会运行在当前分区）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可以实现无感化刷写，即执行刷写时，不影响其他自驾功能（目前由于算力限制，暂无法实现真正的无感刷写，因为在执行刷写时，将其他业务进程停掉了；但原理上支持无感化刷写）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3.3.1 基于AB双分区大包升级逻辑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3.3.1.1 基于诊断进行数据传输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对于cECU升级包，每个小包文件都是一个Logical block，针对每个Logical block，从OTA master经由dji_doip_service传到dji_up_master，都是通过以下诊断命令完成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34：     请求下载</w:t>
              <w:br/>
              <w:t>36 * n： 数据下载。将对应的Logical block数据分成n帧，每一帧由一个36进行传输</w:t>
              <w:br/>
              <w:t>37：     请求下载退出</w:t>
              <w:br/>
            </w:r>
            <w:r>
              <w:rPr>
                <w:rFonts w:eastAsia="Consolas" w:ascii="Consolas" w:cs="Consolas" w:hAnsi="Consolas"/>
                <w:sz w:val="22"/>
              </w:rPr>
              <w:t>31：     crc32校验，保证数据在传输过程中没有出错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3.3.1.2 文件安装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在所有的小包中，第一个被传输的小包为配置文件，里面会记录其他每个小包的相关信息，主要包括：小包名、小包logical block id、小包大小、小包MD5以及小包安装位置等。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对于某一特定的Logical block通过诊断命令下载完成后，由dji_up_master分发给dji_up_local_x，该分发区分local与remote，用以节省本机内存占用：对于本机的dji_up_local，只分发文件路径；对于非本机dji_up_local，将文件数据通过minidcos接口进行传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dji_up_local接收到文件后，会根据配置文件中对应安装位置，将该小包安装到对应的位置。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3.3.1.3 一致性校验及切区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小包传输及安装完毕，dji_up_master会向dji_up_local发送一致性检查命令；dji_up_local收到该命令后，会回读除配置文件外的所有的小包数据，并计算对应的MD5，并校验所有计算得到的MD5与配置文件中记录的对应小包的MD5是否一致：如果不一致，则升级失败，退出升级；如果一致，则调用qnx-tda提供的RPMB操作接口，写切区标志到RPMB，供下次启动时boot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3.3.2 基于AB双分区小包升级逻辑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小包升级属于一个调试需求，主要是为了方便开发调试，其使用 场景为：用户选择一个（或多个）小包后，直接进行升级。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小包升级的数据传出也是基于诊断，但后台处理逻辑与大包升级有所区别。小包升级的需求即基于当前版本，只更新特定的某个（些）小包，其他小包版本不要变，即：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76700" cy="3314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对于基于AB双分区的平台，小包升级时为了做到上面的需求，在升级完对应的小包到对区后，需要比较两个分区中其他未被升级的小包，如果本区与对区中某一小包不一致，则需要将本区该小包也同步到对区：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四、安全升级方案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Update模块支持cECU侧针对Logic block的验签，这个数据流如下图所示：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在大疆CICD以及固件管理系统，会将每个子模块（Logic block）固件进行加密，并且使用相应私钥进行签发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cECU整包固件上传到OEM OTA server后，OEM会再次进行签发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车端OTA Manager会进行OEM验签，只有验签通过，才会执行OTA，并剥离OEM signature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对应的cECU升级包传输到cECU内部后，cECU会对每个Logic block固件文件进行DJI验签，只有验签通过，才会执行刷写（将DJI加密固件数据以及签名信息同时存储）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Update模块配合相应系统，通过上述步骤保证cECU在OTA过程中的信息安全。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五、miniboot升级方案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文有提到，boot0/boot1区为boot区，目前主要用来存放miniboot(cburner)，默认不会更新，但实际上由于业务的需要，这两个区也有升级的需要。由于boot0/boot1没有AB双分区的概念，其升级需要一些特殊的操作，具体的升级过程在下文中介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boot0.img和boot1.img目前是放在update-processor.img小包中的/data目录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在升级将要完成时（即在 </w:t>
      </w:r>
      <w:r>
        <w:rPr>
          <w:rFonts w:eastAsia="等线" w:ascii="Arial" w:cs="Arial" w:hAnsi="Arial"/>
          <w:b w:val="true"/>
          <w:sz w:val="22"/>
        </w:rPr>
        <w:t xml:space="preserve">图1，校验所有文件MD5后 </w:t>
      </w:r>
      <w:r>
        <w:rPr>
          <w:rFonts w:eastAsia="等线" w:ascii="Arial" w:cs="Arial" w:hAnsi="Arial"/>
          <w:sz w:val="22"/>
        </w:rPr>
        <w:t>），会挂载备份分区中update-processor.img镜像（如果是大包升级，便是升级的新大包中携带的update镜像，如果是小包升级，如果升级了update，则是新update的镜像，如未升级update，则是原update的镜像）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然后将包中的boot0, boot1取出，和cECU上的boot0, boo1的md5对比，若不同，则用包中的boot0, boot1替代cECU上的boot0, boot1。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注：boot0,boot1 因不存在A\B分区的机制，故升级方案单独列出讲述。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六、UpdateC升级方案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任何时刻，只有一个分区（Slot A或者Slot B）处于运行状态，另一分区处于备份状态。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等线" w:ascii="Arial" w:cs="Arial" w:hAnsi="Arial"/>
          <w:b w:val="true"/>
          <w:sz w:val="22"/>
        </w:rPr>
        <w:t xml:space="preserve">正常升级流程 </w:t>
      </w:r>
      <w:r>
        <w:rPr>
          <w:rFonts w:eastAsia="等线" w:ascii="Arial" w:cs="Arial" w:hAnsi="Arial"/>
          <w:sz w:val="22"/>
        </w:rPr>
        <w:t>而言，总是操作处于备份状态的分区，升级完成后，设置相应标志给到Miniboot，用以下次启动时从新的分区启动。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相对于 </w:t>
      </w:r>
      <w:r>
        <w:rPr>
          <w:rFonts w:eastAsia="等线" w:ascii="Arial" w:cs="Arial" w:hAnsi="Arial"/>
          <w:b w:val="true"/>
          <w:sz w:val="22"/>
        </w:rPr>
        <w:t xml:space="preserve">正常升级流程 </w:t>
      </w:r>
      <w:r>
        <w:rPr>
          <w:rFonts w:eastAsia="等线" w:ascii="Arial" w:cs="Arial" w:hAnsi="Arial"/>
          <w:sz w:val="22"/>
        </w:rPr>
        <w:t xml:space="preserve">，还有一种特殊升级流程：假设Slot A和Slot B都不可启动，可以通过启动Slot C，在Slot C中重刷整个8GB镜像。这种 </w:t>
      </w:r>
      <w:r>
        <w:rPr>
          <w:rFonts w:eastAsia="等线" w:ascii="Arial" w:cs="Arial" w:hAnsi="Arial"/>
          <w:b w:val="true"/>
          <w:sz w:val="22"/>
        </w:rPr>
        <w:t xml:space="preserve">特殊的升级流程 </w:t>
      </w:r>
      <w:r>
        <w:rPr>
          <w:rFonts w:eastAsia="等线" w:ascii="Arial" w:cs="Arial" w:hAnsi="Arial"/>
          <w:sz w:val="22"/>
        </w:rPr>
        <w:t>，我们称为updateC。其中Slot C的概念在下文中有介绍。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6.1 UpdateC刷写文件生成过程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分四步：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从制品库拉取相应模块的img文件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以步骤１的img文件为输入，使用镜像制作工具，制作完整的8GB文件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使用镜像切割工具，将8GB文件切割成若干个大小为128MB的文件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以步骤3的文件为输入，使用文件压缩工具，对每个128MB的文件进行压缩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具体过程如下图所示：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6.2 文件刷写过程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如前文描述，正常情况下，系统起来后会运行于Slot A或者Slot B，但如果Slot A和Slot B都损坏了怎么办？那么需要使系统运行在Slot C。Slot C运行环境：即在Cburner中存在一份完整的Linux系统（uboot+kernel+rootfs），当Slot A和Slot B都不可启动时，Miniboot会加载Cburner中的系统，完全加载进DDR中进行运行，这种运行环境称为Slot C运行环境。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8GB镜像文件被切割并压缩成若干个128MB文件后，这些文件也是通过UDS刷写进控制器。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在Slot C运行环境中，同样运行有update进程，可以接受UDS指令完成刷写：每接受一个文件，按地址偏移直接刷写进对应的eMMC位置。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具体方案参考 </w:t>
      </w:r>
      <w:hyperlink r:id="rId13">
        <w:r>
          <w:rPr>
            <w:rFonts w:eastAsia="等线" w:ascii="Arial" w:cs="Arial" w:hAnsi="Arial"/>
            <w:color w:val="3370ff"/>
            <w:sz w:val="22"/>
          </w:rPr>
          <w:t>updateC升级方案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七、升级限制策略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由于业务实际的需求，在升级逻辑中增加了一些实际的策略，主要如下：</w:t>
      </w: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00 升级策略之版本依赖机制</w:t>
        </w:r>
      </w:hyperlink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01 升级策略之防回滚counter机制</w:t>
        </w:r>
      </w:hyperlink>
    </w:p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02 升级策略之孪生构型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4909">
    <w:lvl>
      <w:start w:val="1"/>
      <w:numFmt w:val="decimal"/>
      <w:suff w:val="tab"/>
      <w:lvlText w:val="%1."/>
      <w:rPr>
        <w:color w:val="3370ff"/>
      </w:rPr>
    </w:lvl>
  </w:abstractNum>
  <w:abstractNum w:abstractNumId="1044910">
    <w:lvl>
      <w:start w:val="2"/>
      <w:numFmt w:val="decimal"/>
      <w:suff w:val="tab"/>
      <w:lvlText w:val="%1."/>
      <w:rPr>
        <w:color w:val="3370ff"/>
      </w:rPr>
    </w:lvl>
  </w:abstractNum>
  <w:abstractNum w:abstractNumId="1044911">
    <w:lvl>
      <w:start w:val="3"/>
      <w:numFmt w:val="decimal"/>
      <w:suff w:val="tab"/>
      <w:lvlText w:val="%1."/>
      <w:rPr>
        <w:color w:val="3370ff"/>
      </w:rPr>
    </w:lvl>
  </w:abstractNum>
  <w:abstractNum w:abstractNumId="1044912">
    <w:lvl>
      <w:start w:val="1"/>
      <w:numFmt w:val="lowerLetter"/>
      <w:suff w:val="tab"/>
      <w:lvlText w:val="%1."/>
      <w:rPr>
        <w:color w:val="3370ff"/>
      </w:rPr>
    </w:lvl>
  </w:abstractNum>
  <w:abstractNum w:abstractNumId="1044913">
    <w:lvl>
      <w:start w:val="2"/>
      <w:numFmt w:val="lowerLetter"/>
      <w:suff w:val="tab"/>
      <w:lvlText w:val="%1."/>
      <w:rPr>
        <w:color w:val="3370ff"/>
      </w:rPr>
    </w:lvl>
  </w:abstractNum>
  <w:abstractNum w:abstractNumId="1044914">
    <w:lvl>
      <w:start w:val="1"/>
      <w:numFmt w:val="decimal"/>
      <w:suff w:val="tab"/>
      <w:lvlText w:val="%1."/>
      <w:rPr>
        <w:color w:val="3370ff"/>
      </w:rPr>
    </w:lvl>
  </w:abstractNum>
  <w:abstractNum w:abstractNumId="1044915">
    <w:lvl>
      <w:start w:val="2"/>
      <w:numFmt w:val="decimal"/>
      <w:suff w:val="tab"/>
      <w:lvlText w:val="%1."/>
      <w:rPr>
        <w:color w:val="3370ff"/>
      </w:rPr>
    </w:lvl>
  </w:abstractNum>
  <w:abstractNum w:abstractNumId="1044916">
    <w:lvl>
      <w:start w:val="3"/>
      <w:numFmt w:val="decimal"/>
      <w:suff w:val="tab"/>
      <w:lvlText w:val="%1."/>
      <w:rPr>
        <w:color w:val="3370ff"/>
      </w:rPr>
    </w:lvl>
  </w:abstractNum>
  <w:abstractNum w:abstractNumId="1044917">
    <w:lvl>
      <w:start w:val="1"/>
      <w:numFmt w:val="decimal"/>
      <w:suff w:val="tab"/>
      <w:lvlText w:val="%1."/>
      <w:rPr>
        <w:color w:val="3370ff"/>
      </w:rPr>
    </w:lvl>
  </w:abstractNum>
  <w:abstractNum w:abstractNumId="1044918">
    <w:lvl>
      <w:start w:val="2"/>
      <w:numFmt w:val="decimal"/>
      <w:suff w:val="tab"/>
      <w:lvlText w:val="%1."/>
      <w:rPr>
        <w:color w:val="3370ff"/>
      </w:rPr>
    </w:lvl>
  </w:abstractNum>
  <w:abstractNum w:abstractNumId="1044919">
    <w:lvl>
      <w:start w:val="1"/>
      <w:numFmt w:val="decimal"/>
      <w:suff w:val="tab"/>
      <w:lvlText w:val="%1."/>
      <w:rPr>
        <w:color w:val="3370ff"/>
      </w:rPr>
    </w:lvl>
  </w:abstractNum>
  <w:abstractNum w:abstractNumId="1044920">
    <w:lvl>
      <w:start w:val="2"/>
      <w:numFmt w:val="decimal"/>
      <w:suff w:val="tab"/>
      <w:lvlText w:val="%1."/>
      <w:rPr>
        <w:color w:val="3370ff"/>
      </w:rPr>
    </w:lvl>
  </w:abstractNum>
  <w:abstractNum w:abstractNumId="1044921">
    <w:lvl>
      <w:numFmt w:val="bullet"/>
      <w:suff w:val="tab"/>
      <w:lvlText w:val="•"/>
      <w:rPr>
        <w:color w:val="3370ff"/>
      </w:rPr>
    </w:lvl>
  </w:abstractNum>
  <w:abstractNum w:abstractNumId="1044922">
    <w:lvl>
      <w:numFmt w:val="bullet"/>
      <w:suff w:val="tab"/>
      <w:lvlText w:val="•"/>
      <w:rPr>
        <w:color w:val="3370ff"/>
      </w:rPr>
    </w:lvl>
  </w:abstractNum>
  <w:abstractNum w:abstractNumId="1044923">
    <w:lvl>
      <w:numFmt w:val="bullet"/>
      <w:suff w:val="tab"/>
      <w:lvlText w:val="•"/>
      <w:rPr>
        <w:color w:val="3370ff"/>
      </w:rPr>
    </w:lvl>
  </w:abstractNum>
  <w:abstractNum w:abstractNumId="1044924">
    <w:lvl>
      <w:numFmt w:val="bullet"/>
      <w:suff w:val="tab"/>
      <w:lvlText w:val="•"/>
      <w:rPr>
        <w:color w:val="3370ff"/>
      </w:rPr>
    </w:lvl>
  </w:abstractNum>
  <w:abstractNum w:abstractNumId="1044925">
    <w:lvl>
      <w:start w:val="1"/>
      <w:numFmt w:val="decimal"/>
      <w:suff w:val="tab"/>
      <w:lvlText w:val="%1."/>
      <w:rPr>
        <w:color w:val="3370ff"/>
      </w:rPr>
    </w:lvl>
  </w:abstractNum>
  <w:abstractNum w:abstractNumId="1044926">
    <w:lvl>
      <w:start w:val="2"/>
      <w:numFmt w:val="decimal"/>
      <w:suff w:val="tab"/>
      <w:lvlText w:val="%1."/>
      <w:rPr>
        <w:color w:val="3370ff"/>
      </w:rPr>
    </w:lvl>
  </w:abstractNum>
  <w:abstractNum w:abstractNumId="1044927">
    <w:lvl>
      <w:start w:val="3"/>
      <w:numFmt w:val="decimal"/>
      <w:suff w:val="tab"/>
      <w:lvlText w:val="%1."/>
      <w:rPr>
        <w:color w:val="3370ff"/>
      </w:rPr>
    </w:lvl>
  </w:abstractNum>
  <w:abstractNum w:abstractNumId="104492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44909"/>
  </w:num>
  <w:num w:numId="2">
    <w:abstractNumId w:val="1044910"/>
  </w:num>
  <w:num w:numId="3">
    <w:abstractNumId w:val="1044911"/>
  </w:num>
  <w:num w:numId="4">
    <w:abstractNumId w:val="1044912"/>
  </w:num>
  <w:num w:numId="5">
    <w:abstractNumId w:val="1044913"/>
  </w:num>
  <w:num w:numId="6">
    <w:abstractNumId w:val="1044914"/>
  </w:num>
  <w:num w:numId="7">
    <w:abstractNumId w:val="1044915"/>
  </w:num>
  <w:num w:numId="8">
    <w:abstractNumId w:val="1044916"/>
  </w:num>
  <w:num w:numId="9">
    <w:abstractNumId w:val="1044917"/>
  </w:num>
  <w:num w:numId="10">
    <w:abstractNumId w:val="1044918"/>
  </w:num>
  <w:num w:numId="11">
    <w:abstractNumId w:val="1044919"/>
  </w:num>
  <w:num w:numId="12">
    <w:abstractNumId w:val="1044920"/>
  </w:num>
  <w:num w:numId="13">
    <w:abstractNumId w:val="1044921"/>
  </w:num>
  <w:num w:numId="14">
    <w:abstractNumId w:val="1044922"/>
  </w:num>
  <w:num w:numId="15">
    <w:abstractNumId w:val="1044923"/>
  </w:num>
  <w:num w:numId="16">
    <w:abstractNumId w:val="1044924"/>
  </w:num>
  <w:num w:numId="17">
    <w:abstractNumId w:val="1044925"/>
  </w:num>
  <w:num w:numId="18">
    <w:abstractNumId w:val="1044926"/>
  </w:num>
  <w:num w:numId="19">
    <w:abstractNumId w:val="1044927"/>
  </w:num>
  <w:num w:numId="20">
    <w:abstractNumId w:val="10449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ttps://confluence.zytintra-sa.com/pages/viewpage.action?pageId=453120774" TargetMode="External" Type="http://schemas.openxmlformats.org/officeDocument/2006/relationships/hyperlink"/><Relationship Id="rId14" Target="https://confluence.zytintra-sa.com/pages/viewpage.action?pageId=551213599" TargetMode="External" Type="http://schemas.openxmlformats.org/officeDocument/2006/relationships/hyperlink"/><Relationship Id="rId15" Target="https://confluence.zytintra-sa.com/pages/viewpage.action?pageId=551213604" TargetMode="External" Type="http://schemas.openxmlformats.org/officeDocument/2006/relationships/hyperlink"/><Relationship Id="rId16" Target="https://confluence.zytintra-sa.com/pages/viewpage.action?pageId=551213608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2026-09-03T08:58:56Z</dcterms:created>
  <dc:creator>Apache POI</dc:creator>
</cp:coreProperties>
</file>