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功率器件功率循环试验</w:t>
      </w:r>
    </w:p>
    <w:p>
      <w:pPr>
        <w:pStyle w:val="Title"/>
      </w:pPr>
      <w:r>
        <w:t xml:space="preserve">研究方案</w:t>
      </w:r>
    </w:p>
    <w:p>
      <w:pPr>
        <w:spacing w:before="800"/>
      </w:pPr>
    </w:p>
    <w:p>
      <w:pPr>
        <w:jc w:val="center"/>
      </w:pPr>
      <w:r>
        <w:rPr>
          <w:sz w:val="28"/>
          <w:szCs w:val="28"/>
        </w:rPr>
        <w:t xml:space="preserve">（以实验为主）</w:t>
      </w:r>
    </w:p>
    <w:p>
      <w:pPr>
        <w:spacing w:before="1500"/>
      </w:pPr>
    </w:p>
    <w:p>
      <w:pPr>
        <w:spacing w:after="200"/>
        <w:jc w:val="center"/>
      </w:pPr>
      <w:r>
        <w:rPr>
          <w:sz w:val="24"/>
          <w:szCs w:val="24"/>
        </w:rPr>
        <w:t xml:space="preserve">编制单位：IOL 实验室</w:t>
      </w:r>
    </w:p>
    <w:p>
      <w:pPr>
        <w:spacing w:after="200"/>
        <w:jc w:val="center"/>
      </w:pPr>
      <w:r>
        <w:rPr>
          <w:sz w:val="24"/>
          <w:szCs w:val="24"/>
        </w:rPr>
        <w:t xml:space="preserve">文档版本：V2.0</w:t>
      </w:r>
    </w:p>
    <w:p>
      <w:pPr>
        <w:spacing w:after="200"/>
        <w:jc w:val="center"/>
      </w:pPr>
      <w:r>
        <w:rPr>
          <w:sz w:val="24"/>
          <w:szCs w:val="24"/>
        </w:rPr>
        <w:t xml:space="preserve">编制日期：2026年2月28日</w:t>
      </w:r>
    </w:p>
    <w:p>
      <w:pPr>
        <w:spacing w:after="200"/>
        <w:jc w:val="center"/>
      </w:pPr>
      <w:r>
        <w:rPr>
          <w:sz w:val="24"/>
          <w:szCs w:val="24"/>
        </w:rPr>
        <w:t xml:space="preserve">密    级：内部</w:t>
      </w:r>
    </w:p>
    <w:p>
      <w:r>
        <w:br w:type="page"/>
      </w:r>
    </w:p>
    <w:p>
      <w:pPr>
        <w:pStyle w:val="Heading1"/>
      </w:pPr>
      <w: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研究背景与目标</w:t>
      </w:r>
    </w:p>
    <w:p>
      <w:pPr>
        <w:pStyle w:val="Heading2"/>
      </w:pPr>
      <w:r>
        <w:t xml:space="preserve">1.1 研究背景</w:t>
      </w:r>
    </w:p>
    <w:p>
      <w:pPr>
        <w:spacing w:after="120"/>
      </w:pPr>
      <w:r>
        <w:t xml:space="preserve">随着新能源汽车、光伏逆变器、风力发电、轨道交通及工业变频驱动等领域的快速发展，功率半导体器件（IGBT、SiC MOSFET、Si MOSFET、功率二极管等）在高功率密度、高可靠性方面的要求日益严苛。功率器件在实际工作中承受反复的电-热应力循环，导致封装结构内部产生热-机械疲劳，是功率模块现场失效的主要原因之一。</w:t>
      </w:r>
    </w:p>
    <w:p>
      <w:pPr>
        <w:spacing w:after="120"/>
      </w:pPr>
      <w:r>
        <w:t xml:space="preserve">功率循环试验（Power Cycling Test, PCT）是评估功率半导体器件及模块在热循环应力下可靠性的核心加速试验方法。与被动温度循环试验（TC）不同，PC试验通过器件自身通电发热与断电冷却来模拟实际工况中的有源温度波动，更真实地反映器件在实际应用中的热-机械疲劳过程。</w:t>
      </w:r>
    </w:p>
    <w:p>
      <w:pPr>
        <w:pStyle w:val="Heading2"/>
      </w:pPr>
      <w:r>
        <w:t xml:space="preserve">1.2 研究目的</w:t>
      </w:r>
    </w:p>
    <w:p>
      <w:pPr>
        <w:pStyle w:val="ListParagraph"/>
        <w:numPr>
          <w:ilvl w:val="0"/>
          <w:numId w:val="2"/>
        </w:numPr>
      </w:pPr>
      <w:r>
        <w:t xml:space="preserve">建立标准化PC试验能力：搭建符合国际标准（IEC 60749-34、AQG 324、AEC-Q101等）的功率循环试验平台。</w:t>
      </w:r>
    </w:p>
    <w:p>
      <w:pPr>
        <w:pStyle w:val="ListParagraph"/>
        <w:numPr>
          <w:ilvl w:val="0"/>
          <w:numId w:val="2"/>
        </w:numPr>
      </w:pPr>
      <w:r>
        <w:t xml:space="preserve">深入理解失效机理：系统研究功率器件在PC试验中的退化过程及失效物理机制。</w:t>
      </w:r>
    </w:p>
    <w:p>
      <w:pPr>
        <w:pStyle w:val="ListParagraph"/>
        <w:numPr>
          <w:ilvl w:val="0"/>
          <w:numId w:val="2"/>
        </w:numPr>
      </w:pPr>
      <w:r>
        <w:t xml:space="preserve">建立寿命预测模型：基于试验数据和物理模型，建立适用于不同器件类型和封装结构的寿命预测模型。</w:t>
      </w:r>
    </w:p>
    <w:p>
      <w:pPr>
        <w:pStyle w:val="ListParagraph"/>
        <w:numPr>
          <w:ilvl w:val="0"/>
          <w:numId w:val="2"/>
        </w:numPr>
      </w:pPr>
      <w:r>
        <w:t xml:space="preserve">支撑可靠性设计：为公司功率器件及模块的封装设计优化、材料选型和可靠性提升提供数据支撑。</w:t>
      </w:r>
    </w:p>
    <w:p>
      <w:pPr>
        <w:pStyle w:val="ListParagraph"/>
        <w:numPr>
          <w:ilvl w:val="0"/>
          <w:numId w:val="2"/>
        </w:numPr>
      </w:pPr>
      <w:r>
        <w:t xml:space="preserve">形成技术壁垒：积累PC试验与可靠性评估的核心技术能力，形成竞争优势。</w:t>
      </w:r>
    </w:p>
    <w:p>
      <w:pPr>
        <w:pStyle w:val="Heading2"/>
      </w:pPr>
      <w:r>
        <w:t xml:space="preserve">1.3 研究范围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器件类型</w:t>
            </w:r>
          </w:p>
        </w:tc>
        <w:tc>
          <w:tcPr>
            <w:tcW w:type="dxa" w:w="68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典型型号/规格</w:t>
            </w:r>
          </w:p>
        </w:tc>
      </w:tr>
      <w:tr>
        <w:tc>
          <w:tcPr>
            <w:tcW w:type="dxa" w:w="2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Si IGBT模块</w:t>
            </w:r>
          </w:p>
        </w:tc>
        <w:tc>
          <w:tcPr>
            <w:tcW w:type="dxa" w:w="6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1200V/150A FF150R12ME4系列</w:t>
            </w:r>
          </w:p>
        </w:tc>
      </w:tr>
      <w:tr>
        <w:tc>
          <w:tcPr>
            <w:tcW w:type="dxa" w:w="2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SiC MOSFET模块</w:t>
            </w:r>
          </w:p>
        </w:tc>
        <w:tc>
          <w:tcPr>
            <w:tcW w:type="dxa" w:w="6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1200V/100A 碳化硅模块</w:t>
            </w:r>
          </w:p>
        </w:tc>
      </w:tr>
      <w:tr>
        <w:tc>
          <w:tcPr>
            <w:tcW w:type="dxa" w:w="2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Si 快恢复二极管</w:t>
            </w:r>
          </w:p>
        </w:tc>
        <w:tc>
          <w:tcPr>
            <w:tcW w:type="dxa" w:w="6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1200V FRD芯片/模块</w:t>
            </w:r>
          </w:p>
        </w:tc>
      </w:tr>
    </w:tbl>
    <w:p>
      <w:r>
        <w:br w:type="page"/>
      </w:r>
    </w:p>
    <w:p>
      <w:pPr>
        <w:pStyle w:val="Heading1"/>
      </w:pPr>
      <w:r>
        <w:t xml:space="preserve">2 试验平台建设</w:t>
      </w:r>
    </w:p>
    <w:p>
      <w:pPr>
        <w:pStyle w:val="Heading2"/>
      </w:pPr>
      <w:r>
        <w:t xml:space="preserve">2.1 PC试验台核心规格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参数</w:t>
            </w:r>
          </w:p>
        </w:tc>
        <w:tc>
          <w:tcPr>
            <w:tcW w:type="dxa" w:w="65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规格要求</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通道数</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 8通道独立控制</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最大负载电流</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600 A（持续），可扩展至1000 A</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最大阻断电压</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 1700 V</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加热时间范围</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0.5 s ~ 300 s 可编程</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冷却方式</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水冷（0.5~15 L/min），冷却液温度可调 20~90°C</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结温测量</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TSEP法，精度 ±2°C</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VCE/RDS(on)测量</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分辨率 0.5 mV，精度 ±0.1%</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热阻测量</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集成瞬态热阻测量功能</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数据记录</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每个循环核心参数记录，长期存储</w:t>
            </w:r>
          </w:p>
        </w:tc>
      </w:tr>
      <w:tr>
        <w:tc>
          <w:tcPr>
            <w:tcW w:type="dxa" w:w="2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安全保护</w:t>
            </w:r>
          </w:p>
        </w:tc>
        <w:tc>
          <w:tcPr>
            <w:tcW w:type="dxa" w:w="6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过温、过流、过压保护，器件短路检测</w:t>
            </w:r>
          </w:p>
        </w:tc>
      </w:tr>
    </w:tbl>
    <w:p>
      <w:pPr>
        <w:pStyle w:val="Heading2"/>
      </w:pPr>
      <w:r>
        <w:t xml:space="preserve">2.2 辅助设备清单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设备</w:t>
            </w:r>
          </w:p>
        </w:tc>
        <w:tc>
          <w:tcPr>
            <w:tcW w:type="dxa" w:w="40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功能</w:t>
            </w:r>
          </w:p>
        </w:tc>
        <w:tc>
          <w:tcPr>
            <w:tcW w:type="dxa" w:w="23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优先级</w:t>
            </w:r>
          </w:p>
        </w:tc>
      </w:tr>
      <w:tr>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声学显微镜（SAM）</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焊料层/界面退化检测</w:t>
            </w:r>
          </w:p>
        </w:tc>
        <w:tc>
          <w:tcPr>
            <w:tcW w:type="dxa" w:w="23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高</w:t>
            </w:r>
          </w:p>
        </w:tc>
      </w:tr>
      <w:tr>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X-ray检测系统</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内部结构无损检测</w:t>
            </w:r>
          </w:p>
        </w:tc>
        <w:tc>
          <w:tcPr>
            <w:tcW w:type="dxa" w:w="23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高</w:t>
            </w:r>
          </w:p>
        </w:tc>
      </w:tr>
      <w:tr>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红外热成像仪</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温度分布可视化</w:t>
            </w:r>
          </w:p>
        </w:tc>
        <w:tc>
          <w:tcPr>
            <w:tcW w:type="dxa" w:w="23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高</w:t>
            </w:r>
          </w:p>
        </w:tc>
      </w:tr>
      <w:tr>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SEM/EDS</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微观组织与成分分析</w:t>
            </w:r>
          </w:p>
        </w:tc>
        <w:tc>
          <w:tcPr>
            <w:tcW w:type="dxa" w:w="23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中</w:t>
            </w:r>
          </w:p>
        </w:tc>
      </w:tr>
      <w:tr>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金相切片设备</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截面分析样品制备</w:t>
            </w:r>
          </w:p>
        </w:tc>
        <w:tc>
          <w:tcPr>
            <w:tcW w:type="dxa" w:w="23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中</w:t>
            </w:r>
          </w:p>
        </w:tc>
      </w:tr>
      <w:tr>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键合线拉力/剪切力测试机</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键合强度评估</w:t>
            </w:r>
          </w:p>
        </w:tc>
        <w:tc>
          <w:tcPr>
            <w:tcW w:type="dxa" w:w="23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中</w:t>
            </w:r>
          </w:p>
        </w:tc>
      </w:tr>
      <w:tr>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ANSYS/COMSOL仿真许可</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热-机械有限元仿真</w:t>
            </w:r>
          </w:p>
        </w:tc>
        <w:tc>
          <w:tcPr>
            <w:tcW w:type="dxa" w:w="23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高</w:t>
            </w:r>
          </w:p>
        </w:tc>
      </w:tr>
    </w:tbl>
    <w:p>
      <w:pPr>
        <w:pStyle w:val="Heading2"/>
      </w:pPr>
      <w:r>
        <w:t xml:space="preserve">2.3 软件平台</w:t>
      </w:r>
    </w:p>
    <w:p>
      <w:pPr>
        <w:spacing w:after="80"/>
      </w:pPr>
      <w:r>
        <w:t xml:space="preserve">基于本项目已开发的「功率模块寿命分析软件」，具备以下功能模块：</w:t>
      </w:r>
    </w:p>
    <w:p>
      <w:pPr>
        <w:pStyle w:val="ListParagraph"/>
        <w:numPr>
          <w:ilvl w:val="0"/>
          <w:numId w:val="3"/>
        </w:numPr>
      </w:pPr>
      <w:r>
        <w:t xml:space="preserve">寿命预测计算：Coffin-Manson、CM-Arrhenius、Norris-Landzberg、CIPS 2008、LESIT</w:t>
      </w:r>
    </w:p>
    <w:p>
      <w:pPr>
        <w:pStyle w:val="ListParagraph"/>
        <w:numPr>
          <w:ilvl w:val="0"/>
          <w:numId w:val="3"/>
        </w:numPr>
      </w:pPr>
      <w:r>
        <w:t xml:space="preserve">雨流计数分析：ASTM E1049标准的循环提取算法</w:t>
      </w:r>
    </w:p>
    <w:p>
      <w:pPr>
        <w:pStyle w:val="ListParagraph"/>
        <w:numPr>
          <w:ilvl w:val="0"/>
          <w:numId w:val="3"/>
        </w:numPr>
      </w:pPr>
      <w:r>
        <w:t xml:space="preserve">损伤累积分析：基于Miner法则的线性损伤累积计算</w:t>
      </w:r>
    </w:p>
    <w:p>
      <w:pPr>
        <w:pStyle w:val="ListParagraph"/>
        <w:numPr>
          <w:ilvl w:val="0"/>
          <w:numId w:val="3"/>
        </w:numPr>
      </w:pPr>
      <w:r>
        <w:t xml:space="preserve">Weibull分析：B10/B50/B63.2特征寿命计算</w:t>
      </w:r>
    </w:p>
    <w:p>
      <w:pPr>
        <w:pStyle w:val="ListParagraph"/>
        <w:numPr>
          <w:ilvl w:val="0"/>
          <w:numId w:val="3"/>
        </w:numPr>
      </w:pPr>
      <w:r>
        <w:t xml:space="preserve">参数拟合：非线性最小二乘拟合，支持CIPS 2008专用拟合</w:t>
      </w:r>
    </w:p>
    <w:p>
      <w:pPr>
        <w:pStyle w:val="ListParagraph"/>
        <w:numPr>
          <w:ilvl w:val="0"/>
          <w:numId w:val="3"/>
        </w:numPr>
      </w:pPr>
      <w:r>
        <w:t xml:space="preserve">报告导出：PDF/Excel专业报告生成</w:t>
      </w:r>
    </w:p>
    <w:p>
      <w:r>
        <w:br w:type="page"/>
      </w:r>
    </w:p>
    <w:p>
      <w:pPr>
        <w:pStyle w:val="Heading1"/>
      </w:pPr>
      <w:r>
        <w:t xml:space="preserve">3 试验设计与矩阵</w:t>
      </w:r>
    </w:p>
    <w:p>
      <w:pPr>
        <w:pStyle w:val="Heading2"/>
      </w:pPr>
      <w:r>
        <w:t xml:space="preserve">3.1 试验变量设计</w:t>
      </w:r>
    </w:p>
    <w:p>
      <w:pPr>
        <w:spacing w:after="80"/>
      </w:pPr>
      <w:r>
        <w:t xml:space="preserve">采用DOE（设计试验法）原理，设计多维度试验矩阵：</w:t>
      </w:r>
    </w:p>
    <w:p>
      <w:pPr>
        <w:pStyle w:val="Heading3"/>
      </w:pPr>
      <w:r>
        <w:t xml:space="preserve">变量一：器件类型（3水平）</w:t>
      </w:r>
    </w:p>
    <w:p>
      <w:pPr>
        <w:pStyle w:val="ListParagraph"/>
        <w:numPr>
          <w:ilvl w:val="0"/>
          <w:numId w:val="3"/>
        </w:numPr>
      </w:pPr>
      <w:r>
        <w:t xml:space="preserve">Si IGBT模块（如1200V/150A FF150R12ME4）</w:t>
      </w:r>
    </w:p>
    <w:p>
      <w:pPr>
        <w:pStyle w:val="ListParagraph"/>
        <w:numPr>
          <w:ilvl w:val="0"/>
          <w:numId w:val="3"/>
        </w:numPr>
      </w:pPr>
      <w:r>
        <w:t xml:space="preserve">SiC MOSFET模块（如1200V/100A）</w:t>
      </w:r>
    </w:p>
    <w:p>
      <w:pPr>
        <w:pStyle w:val="ListParagraph"/>
        <w:numPr>
          <w:ilvl w:val="0"/>
          <w:numId w:val="3"/>
        </w:numPr>
      </w:pPr>
      <w:r>
        <w:t xml:space="preserve">Si Fast Recovery Diode（FRD）</w:t>
      </w:r>
    </w:p>
    <w:p>
      <w:pPr>
        <w:pStyle w:val="Heading3"/>
      </w:pPr>
      <w:r>
        <w:t xml:space="preserve">变量二：温度摆幅ΔTj（4水平）</w:t>
      </w:r>
    </w:p>
    <w:p>
      <w:pPr>
        <w:pStyle w:val="ListParagraph"/>
        <w:numPr>
          <w:ilvl w:val="0"/>
          <w:numId w:val="3"/>
        </w:numPr>
      </w:pPr>
      <w:r>
        <w:t xml:space="preserve">60 K, 80 K, 100 K, 120 K</w:t>
      </w:r>
    </w:p>
    <w:p>
      <w:pPr>
        <w:pStyle w:val="Heading3"/>
      </w:pPr>
      <w:r>
        <w:t xml:space="preserve">变量三：最高结温Tj_max（3水平）</w:t>
      </w:r>
    </w:p>
    <w:p>
      <w:pPr>
        <w:pStyle w:val="ListParagraph"/>
        <w:numPr>
          <w:ilvl w:val="0"/>
          <w:numId w:val="3"/>
        </w:numPr>
      </w:pPr>
      <w:r>
        <w:t xml:space="preserve">Si器件：125°C, 150°C, 175°C</w:t>
      </w:r>
    </w:p>
    <w:p>
      <w:pPr>
        <w:pStyle w:val="ListParagraph"/>
        <w:numPr>
          <w:ilvl w:val="0"/>
          <w:numId w:val="3"/>
        </w:numPr>
      </w:pPr>
      <w:r>
        <w:t xml:space="preserve">SiC器件：150°C, 175°C, 200°C</w:t>
      </w:r>
    </w:p>
    <w:p>
      <w:pPr>
        <w:pStyle w:val="Heading3"/>
      </w:pPr>
      <w:r>
        <w:t xml:space="preserve">变量四：加热时间ton（3水平）</w:t>
      </w:r>
    </w:p>
    <w:p>
      <w:pPr>
        <w:pStyle w:val="ListParagraph"/>
        <w:numPr>
          <w:ilvl w:val="0"/>
          <w:numId w:val="3"/>
        </w:numPr>
      </w:pPr>
      <w:r>
        <w:t xml:space="preserve">2 s, 10 s, 60 s</w:t>
      </w:r>
    </w:p>
    <w:p>
      <w:pPr>
        <w:pStyle w:val="Heading3"/>
      </w:pPr>
      <w:r>
        <w:t xml:space="preserve">变量五：负载电流（2水平）</w:t>
      </w:r>
    </w:p>
    <w:p>
      <w:pPr>
        <w:pStyle w:val="ListParagraph"/>
        <w:numPr>
          <w:ilvl w:val="0"/>
          <w:numId w:val="3"/>
        </w:numPr>
      </w:pPr>
      <w:r>
        <w:t xml:space="preserve">额定电流IN, 0.6×IN</w:t>
      </w:r>
    </w:p>
    <w:p>
      <w:pPr>
        <w:pStyle w:val="Heading2"/>
      </w:pPr>
      <w:r>
        <w:t xml:space="preserve">3.2 试验矩阵</w:t>
      </w:r>
    </w:p>
    <w:p>
      <w:pPr>
        <w:spacing w:after="80"/>
      </w:pPr>
      <w:r>
        <w:t xml:space="preserve">完整试验矩阵（以Si IGBT为例）：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400"/>
        <w:gridCol w:w="1400"/>
        <w:gridCol w:w="1200"/>
        <w:gridCol w:w="1560"/>
      </w:tblGrid>
      <w:tr>
        <w:tc>
          <w:tcPr>
            <w:tcW w:type="dxa" w:w="12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组号</w:t>
            </w:r>
          </w:p>
        </w:tc>
        <w:tc>
          <w:tcPr>
            <w:tcW w:type="dxa" w:w="12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ΔTj(K)</w:t>
            </w:r>
          </w:p>
        </w:tc>
        <w:tc>
          <w:tcPr>
            <w:tcW w:type="dxa" w:w="14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Tj_max(°C)</w:t>
            </w:r>
          </w:p>
        </w:tc>
        <w:tc>
          <w:tcPr>
            <w:tcW w:type="dxa" w:w="14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ton(s)</w:t>
            </w:r>
          </w:p>
        </w:tc>
        <w:tc>
          <w:tcPr>
            <w:tcW w:type="dxa" w:w="14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IL(A)</w:t>
            </w:r>
          </w:p>
        </w:tc>
        <w:tc>
          <w:tcPr>
            <w:tcW w:type="dxa" w:w="12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样品数</w:t>
            </w:r>
          </w:p>
        </w:tc>
        <w:tc>
          <w:tcPr>
            <w:tcW w:type="dxa" w:w="15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备注</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60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125</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基准组</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125</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重点组</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3</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100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125</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重点组</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4</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125</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6</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175</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7</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125</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125</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60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长脉冲</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9</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80</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125</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90</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低电流</w:t>
            </w:r>
          </w:p>
        </w:tc>
      </w:tr>
      <w:tr>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w:t>
            </w:r>
          </w:p>
        </w:tc>
        <w:tc>
          <w:tcPr>
            <w:tcW w:type="dxa" w:w="14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w:t>
            </w:r>
          </w:p>
        </w:tc>
        <w:tc>
          <w:tcPr>
            <w:tcW w:type="dxa" w:w="1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bl>
    <w:p>
      <w:pPr>
        <w:spacing w:before="100"/>
      </w:pPr>
      <w:r>
        <w:rPr>
          <w:i/>
          <w:iCs/>
          <w:sz w:val="20"/>
          <w:szCs w:val="20"/>
        </w:rPr>
        <w:t xml:space="preserve">注：每组条件至少3个样品，关键条件组5~8个样品，总计约150~200个样品。</w:t>
      </w:r>
    </w:p>
    <w:p>
      <w:r>
        <w:br w:type="page"/>
      </w:r>
    </w:p>
    <w:p>
      <w:pPr>
        <w:pStyle w:val="Heading1"/>
      </w:pPr>
      <w:r>
        <w:t xml:space="preserve">4 试验执行流程</w:t>
      </w:r>
    </w:p>
    <w:p>
      <w:pPr>
        <w:pStyle w:val="Heading2"/>
      </w:pPr>
      <w:r>
        <w:t xml:space="preserve">4.1 TSEP标定</w:t>
      </w:r>
    </w:p>
    <w:p>
      <w:pPr>
        <w:spacing w:after="80"/>
      </w:pPr>
      <w:r>
        <w:t xml:space="preserve">温度敏感电参数（TSEP）标定是PC试验的关键前置工作：</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TSEP</w:t>
            </w:r>
          </w:p>
        </w:tc>
        <w:tc>
          <w:tcPr>
            <w:tcW w:type="dxa" w:w="24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适用器件</w:t>
            </w:r>
          </w:p>
        </w:tc>
        <w:tc>
          <w:tcPr>
            <w:tcW w:type="dxa" w:w="18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典型灵敏度</w:t>
            </w:r>
          </w:p>
        </w:tc>
        <w:tc>
          <w:tcPr>
            <w:tcW w:type="dxa" w:w="29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标定方法</w:t>
            </w:r>
          </w:p>
        </w:tc>
      </w:tr>
      <w:tr>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VCE @ 小电流</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IGBT</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~2 mV/K</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恒温箱加热+脉冲小电流测量</w:t>
            </w:r>
          </w:p>
        </w:tc>
      </w:tr>
      <w:tr>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VSD @ 小电流</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MOSFET体二极管</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~2 mV/K</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同上</w:t>
            </w:r>
          </w:p>
        </w:tc>
      </w:tr>
      <w:tr>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VGE(th)</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IGBT/MOSFET</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3~8 mV/K</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恒温箱加热+栅极阈值扫描</w:t>
            </w:r>
          </w:p>
        </w:tc>
      </w:tr>
      <w:tr>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短路电流ISC</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IGBT/MOSFET</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与温度正相关</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脉冲短路测量</w:t>
            </w:r>
          </w:p>
        </w:tc>
      </w:tr>
    </w:tbl>
    <w:p>
      <w:pPr>
        <w:pStyle w:val="Heading3"/>
      </w:pPr>
      <w:r>
        <w:t xml:space="preserve">标定流程</w:t>
      </w:r>
    </w:p>
    <w:p>
      <w:pPr>
        <w:pStyle w:val="ListParagraph"/>
        <w:numPr>
          <w:ilvl w:val="0"/>
          <w:numId w:val="4"/>
        </w:numPr>
      </w:pPr>
      <w:r>
        <w:t xml:space="preserve">将器件置于恒温箱中，设置目标温度（如25°C、50°C、75°C...175°C）</w:t>
      </w:r>
    </w:p>
    <w:p>
      <w:pPr>
        <w:pStyle w:val="ListParagraph"/>
        <w:numPr>
          <w:ilvl w:val="0"/>
          <w:numId w:val="4"/>
        </w:numPr>
      </w:pPr>
      <w:r>
        <w:t xml:space="preserve">等待器件达到热平衡（≥10分钟）</w:t>
      </w:r>
    </w:p>
    <w:p>
      <w:pPr>
        <w:pStyle w:val="ListParagraph"/>
        <w:numPr>
          <w:ilvl w:val="0"/>
          <w:numId w:val="4"/>
        </w:numPr>
      </w:pPr>
      <w:r>
        <w:t xml:space="preserve">施加小电流（如100mA）测量VCE或VSD</w:t>
      </w:r>
    </w:p>
    <w:p>
      <w:pPr>
        <w:pStyle w:val="ListParagraph"/>
        <w:numPr>
          <w:ilvl w:val="0"/>
          <w:numId w:val="4"/>
        </w:numPr>
      </w:pPr>
      <w:r>
        <w:t xml:space="preserve">记录温度-电参数对应关系</w:t>
      </w:r>
    </w:p>
    <w:p>
      <w:pPr>
        <w:pStyle w:val="ListParagraph"/>
        <w:numPr>
          <w:ilvl w:val="0"/>
          <w:numId w:val="4"/>
        </w:numPr>
      </w:pPr>
      <w:r>
        <w:t xml:space="preserve">拟合标定曲线（通常为线性关系）</w:t>
      </w:r>
    </w:p>
    <w:p>
      <w:pPr>
        <w:pStyle w:val="Heading2"/>
      </w:pPr>
      <w:r>
        <w:t xml:space="preserve">4.2 PC试验执行</w:t>
      </w:r>
    </w:p>
    <w:p>
      <w:pPr>
        <w:pStyle w:val="Heading3"/>
      </w:pPr>
      <w:r>
        <w:t xml:space="preserve">4.2.1 初始特性测量</w:t>
      </w:r>
    </w:p>
    <w:p>
      <w:pPr>
        <w:pStyle w:val="ListParagraph"/>
        <w:numPr>
          <w:ilvl w:val="0"/>
          <w:numId w:val="3"/>
        </w:numPr>
      </w:pPr>
      <w:r>
        <w:t xml:space="preserve">VCE(sat)/RDS(on)初始值测量</w:t>
      </w:r>
    </w:p>
    <w:p>
      <w:pPr>
        <w:pStyle w:val="ListParagraph"/>
        <w:numPr>
          <w:ilvl w:val="0"/>
          <w:numId w:val="3"/>
        </w:numPr>
      </w:pPr>
      <w:r>
        <w:t xml:space="preserve">热阻Rth(j-c)初始值测量</w:t>
      </w:r>
    </w:p>
    <w:p>
      <w:pPr>
        <w:pStyle w:val="ListParagraph"/>
        <w:numPr>
          <w:ilvl w:val="0"/>
          <w:numId w:val="3"/>
        </w:numPr>
      </w:pPr>
      <w:r>
        <w:t xml:space="preserve">TSEP标定曲线</w:t>
      </w:r>
    </w:p>
    <w:p>
      <w:pPr>
        <w:pStyle w:val="ListParagraph"/>
        <w:numPr>
          <w:ilvl w:val="0"/>
          <w:numId w:val="3"/>
        </w:numPr>
      </w:pPr>
      <w:r>
        <w:t xml:space="preserve">SAM初始焊料层扫描</w:t>
      </w:r>
    </w:p>
    <w:p>
      <w:pPr>
        <w:pStyle w:val="Heading3"/>
      </w:pPr>
      <w:r>
        <w:t xml:space="preserve">4.2.2 PC试验运行</w:t>
      </w:r>
    </w:p>
    <w:p>
      <w:pPr>
        <w:pStyle w:val="ListParagraph"/>
        <w:numPr>
          <w:ilvl w:val="0"/>
          <w:numId w:val="3"/>
        </w:numPr>
      </w:pPr>
      <w:r>
        <w:t xml:space="preserve">周期性检查点测量（每隔N次或固定间隔）</w:t>
      </w:r>
    </w:p>
    <w:p>
      <w:pPr>
        <w:pStyle w:val="ListParagraph"/>
        <w:numPr>
          <w:ilvl w:val="0"/>
          <w:numId w:val="3"/>
        </w:numPr>
      </w:pPr>
      <w:r>
        <w:t xml:space="preserve">VCE(sat)/RDS(on)在线监测</w:t>
      </w:r>
    </w:p>
    <w:p>
      <w:pPr>
        <w:pStyle w:val="ListParagraph"/>
        <w:numPr>
          <w:ilvl w:val="0"/>
          <w:numId w:val="3"/>
        </w:numPr>
      </w:pPr>
      <w:r>
        <w:t xml:space="preserve">Rth(j-c)定期测量</w:t>
      </w:r>
    </w:p>
    <w:p>
      <w:pPr>
        <w:pStyle w:val="ListParagraph"/>
        <w:numPr>
          <w:ilvl w:val="0"/>
          <w:numId w:val="3"/>
        </w:numPr>
      </w:pPr>
      <w:r>
        <w:t xml:space="preserve">TSEP曲线漂移监测</w:t>
      </w:r>
    </w:p>
    <w:p>
      <w:pPr>
        <w:pStyle w:val="ListParagraph"/>
        <w:numPr>
          <w:ilvl w:val="0"/>
          <w:numId w:val="3"/>
        </w:numPr>
      </w:pPr>
      <w:r>
        <w:t xml:space="preserve">达到失效判据或预设最大循环次数时停止</w:t>
      </w:r>
    </w:p>
    <w:p>
      <w:pPr>
        <w:pStyle w:val="Heading3"/>
      </w:pPr>
      <w:r>
        <w:t xml:space="preserve">4.2.3 失效判据（依据AQG 324）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失效指标</w:t>
            </w:r>
          </w:p>
        </w:tc>
        <w:tc>
          <w:tcPr>
            <w:tcW w:type="dxa" w:w="58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判据</w:t>
            </w:r>
          </w:p>
        </w:tc>
      </w:tr>
      <w:tr>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正向饱和压降VCE(sat)增大</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ΔVCE(sat) ≥ 5%（初始值）</w:t>
            </w:r>
          </w:p>
        </w:tc>
      </w:tr>
      <w:tr>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正向导通电阻RDS(on)增大</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ΔRDS(on) ≥ 5%（初始值）</w:t>
            </w:r>
          </w:p>
        </w:tc>
      </w:tr>
      <w:tr>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热阻Rth(j-c)增大</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ΔRth(j-c) ≥ 20%（初始值）</w:t>
            </w:r>
          </w:p>
        </w:tc>
      </w:tr>
      <w:tr>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栅极漏电流增大</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超过器件规格限值</w:t>
            </w:r>
          </w:p>
        </w:tc>
      </w:tr>
      <w:tr>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器件开路/短路失效</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灾难性失效</w:t>
            </w:r>
          </w:p>
        </w:tc>
      </w:tr>
    </w:tbl>
    <w:p>
      <w:pPr>
        <w:pStyle w:val="Heading2"/>
      </w:pPr>
      <w:r>
        <w:t xml:space="preserve">4.3 失效分析</w:t>
      </w:r>
    </w:p>
    <w:p>
      <w:pPr>
        <w:spacing w:after="80"/>
      </w:pPr>
      <w:r>
        <w:t xml:space="preserve">对失效样品进行系统性失效分析：</w:t>
      </w:r>
    </w:p>
    <w:p>
      <w:pPr>
        <w:pStyle w:val="ListParagraph"/>
        <w:numPr>
          <w:ilvl w:val="0"/>
          <w:numId w:val="5"/>
        </w:numPr>
      </w:pPr>
      <w:r>
        <w:t xml:space="preserve">SAM扫描：焊料层退化评估</w:t>
      </w:r>
    </w:p>
    <w:p>
      <w:pPr>
        <w:pStyle w:val="ListParagraph"/>
        <w:numPr>
          <w:ilvl w:val="0"/>
          <w:numId w:val="5"/>
        </w:numPr>
      </w:pPr>
      <w:r>
        <w:t xml:space="preserve">X-ray检测：内部结构无损检测</w:t>
      </w:r>
    </w:p>
    <w:p>
      <w:pPr>
        <w:pStyle w:val="ListParagraph"/>
        <w:numPr>
          <w:ilvl w:val="0"/>
          <w:numId w:val="5"/>
        </w:numPr>
      </w:pPr>
      <w:r>
        <w:t xml:space="preserve">金相切片 + SEM/EDS分析：微观组织分析</w:t>
      </w:r>
    </w:p>
    <w:p>
      <w:pPr>
        <w:pStyle w:val="ListParagraph"/>
        <w:numPr>
          <w:ilvl w:val="0"/>
          <w:numId w:val="5"/>
        </w:numPr>
      </w:pPr>
      <w:r>
        <w:t xml:space="preserve">键合线拉力/剪切力测试：键合强度评估</w:t>
      </w:r>
    </w:p>
    <w:p>
      <w:pPr>
        <w:pStyle w:val="ListParagraph"/>
        <w:numPr>
          <w:ilvl w:val="0"/>
          <w:numId w:val="5"/>
        </w:numPr>
      </w:pPr>
      <w:r>
        <w:t xml:space="preserve">红外热成像：温度分布异常检测</w:t>
      </w:r>
    </w:p>
    <w:p>
      <w:r>
        <w:br w:type="page"/>
      </w:r>
    </w:p>
    <w:p>
      <w:pPr>
        <w:pStyle w:val="Heading1"/>
      </w:pPr>
      <w:r>
        <w:t xml:space="preserve">5 数据采集与监测要求</w:t>
      </w:r>
    </w:p>
    <w:p>
      <w:pPr>
        <w:pStyle w:val="Heading2"/>
      </w:pPr>
      <w:r>
        <w:t xml:space="preserve">5.1 关键监测指标</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监测指标</w:t>
            </w:r>
          </w:p>
        </w:tc>
        <w:tc>
          <w:tcPr>
            <w:tcW w:type="dxa" w:w="26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测量方法</w:t>
            </w:r>
          </w:p>
        </w:tc>
        <w:tc>
          <w:tcPr>
            <w:tcW w:type="dxa" w:w="20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监测频率</w:t>
            </w:r>
          </w:p>
        </w:tc>
        <w:tc>
          <w:tcPr>
            <w:tcW w:type="dxa" w:w="25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物理意义</w:t>
            </w:r>
          </w:p>
        </w:tc>
      </w:tr>
      <w:tr>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VCE(sat)/RDS(on)</w:t>
            </w:r>
          </w:p>
        </w:tc>
        <w:tc>
          <w:tcPr>
            <w:tcW w:type="dxa" w:w="26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恒流源+精密电压测量</w:t>
            </w:r>
          </w:p>
        </w:tc>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每1000~5000次</w:t>
            </w:r>
          </w:p>
        </w:tc>
        <w:tc>
          <w:tcPr>
            <w:tcW w:type="dxa" w:w="2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键合线/金属化退化</w:t>
            </w:r>
          </w:p>
        </w:tc>
      </w:tr>
      <w:tr>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Rth(j-c)</w:t>
            </w:r>
          </w:p>
        </w:tc>
        <w:tc>
          <w:tcPr>
            <w:tcW w:type="dxa" w:w="26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瞬态热阻测量</w:t>
            </w:r>
          </w:p>
        </w:tc>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每5000~10000次</w:t>
            </w:r>
          </w:p>
        </w:tc>
        <w:tc>
          <w:tcPr>
            <w:tcW w:type="dxa" w:w="2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焊料层退化</w:t>
            </w:r>
          </w:p>
        </w:tc>
      </w:tr>
      <w:tr>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Tj,max漂移</w:t>
            </w:r>
          </w:p>
        </w:tc>
        <w:tc>
          <w:tcPr>
            <w:tcW w:type="dxa" w:w="26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TSEP在线提取</w:t>
            </w:r>
          </w:p>
        </w:tc>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每100次</w:t>
            </w:r>
          </w:p>
        </w:tc>
        <w:tc>
          <w:tcPr>
            <w:tcW w:type="dxa" w:w="2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热路径整体退化</w:t>
            </w:r>
          </w:p>
        </w:tc>
      </w:tr>
      <w:tr>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栅极特性</w:t>
            </w:r>
          </w:p>
        </w:tc>
        <w:tc>
          <w:tcPr>
            <w:tcW w:type="dxa" w:w="26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VGE(th), IGES测量</w:t>
            </w:r>
          </w:p>
        </w:tc>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每10000次</w:t>
            </w:r>
          </w:p>
        </w:tc>
        <w:tc>
          <w:tcPr>
            <w:tcW w:type="dxa" w:w="2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栅极氧化物退化</w:t>
            </w:r>
          </w:p>
        </w:tc>
      </w:tr>
    </w:tbl>
    <w:p>
      <w:pPr>
        <w:pStyle w:val="Heading2"/>
      </w:pPr>
      <w:r>
        <w:t xml:space="preserve">5.2 数据记录格式</w:t>
      </w:r>
    </w:p>
    <w:p>
      <w:pPr>
        <w:spacing w:after="80"/>
      </w:pPr>
      <w:r>
        <w:t xml:space="preserve">所有试验数据需按照统一格式记录并入库，包含：</w:t>
      </w:r>
    </w:p>
    <w:p>
      <w:pPr>
        <w:pStyle w:val="ListParagraph"/>
        <w:numPr>
          <w:ilvl w:val="0"/>
          <w:numId w:val="3"/>
        </w:numPr>
      </w:pPr>
      <w:r>
        <w:t xml:space="preserve">样品编号、批次信息、试验条件</w:t>
      </w:r>
    </w:p>
    <w:p>
      <w:pPr>
        <w:pStyle w:val="ListParagraph"/>
        <w:numPr>
          <w:ilvl w:val="0"/>
          <w:numId w:val="3"/>
        </w:numPr>
      </w:pPr>
      <w:r>
        <w:t xml:space="preserve">循环次数、电参数测量值、热阻测量值</w:t>
      </w:r>
    </w:p>
    <w:p>
      <w:pPr>
        <w:pStyle w:val="ListParagraph"/>
        <w:numPr>
          <w:ilvl w:val="0"/>
          <w:numId w:val="3"/>
        </w:numPr>
      </w:pPr>
      <w:r>
        <w:t xml:space="preserve">失效时间、失效模式</w:t>
      </w:r>
    </w:p>
    <w:p>
      <w:pPr>
        <w:pStyle w:val="ListParagraph"/>
        <w:numPr>
          <w:ilvl w:val="0"/>
          <w:numId w:val="3"/>
        </w:numPr>
      </w:pPr>
      <w:r>
        <w:t xml:space="preserve">环境条件（温度、湿度等）</w:t>
      </w:r>
    </w:p>
    <w:p>
      <w:r>
        <w:br w:type="page"/>
      </w:r>
    </w:p>
    <w:p>
      <w:pPr>
        <w:pStyle w:val="Heading1"/>
      </w:pPr>
      <w:r>
        <w:t xml:space="preserve">6 寿命预测模型构建方法</w:t>
      </w:r>
    </w:p>
    <w:p>
      <w:pPr>
        <w:pStyle w:val="Heading2"/>
      </w:pPr>
      <w:r>
        <w:t xml:space="preserve">6.1 模型选择</w:t>
      </w:r>
    </w:p>
    <w:p>
      <w:pPr>
        <w:spacing w:after="80"/>
      </w:pPr>
      <w:r>
        <w:t xml:space="preserve">本项目支持5种主流寿命预测模型：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模型</w:t>
            </w:r>
          </w:p>
        </w:tc>
        <w:tc>
          <w:tcPr>
            <w:tcW w:type="dxa" w:w="40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公式</w:t>
            </w:r>
          </w:p>
        </w:tc>
        <w:tc>
          <w:tcPr>
            <w:tcW w:type="dxa" w:w="29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适用场景</w:t>
            </w:r>
          </w:p>
        </w:tc>
      </w:tr>
      <w:tr>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Coffin-Manson</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Nf = A × (ΔTj)^(-α)</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基础热疲劳分析</w:t>
            </w:r>
          </w:p>
        </w:tc>
      </w:tr>
      <w:tr>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CM-Arrhenius</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Nf = A × (ΔTj)^(-α) × exp(Ea/kT)</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考虑温度依赖性</w:t>
            </w:r>
          </w:p>
        </w:tc>
      </w:tr>
      <w:tr>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Norris-Landzberg</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Nf = A × (ΔTj)^(-α) × f^β × exp(Ea/kT)</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考虑频率影响</w:t>
            </w:r>
          </w:p>
        </w:tc>
      </w:tr>
      <w:tr>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CIPS 2008</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多参数经验模型（见下）</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IGBT模块行业标准</w:t>
            </w:r>
          </w:p>
        </w:tc>
      </w:tr>
      <w:tr>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LESIT</w:t>
            </w:r>
          </w:p>
        </w:tc>
        <w:tc>
          <w:tcPr>
            <w:tcW w:type="dxa" w:w="4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Nf = A × (ΔTj)^α × exp(Q/RTmin)</w:t>
            </w:r>
          </w:p>
        </w:tc>
        <w:tc>
          <w:tcPr>
            <w:tcW w:type="dxa" w:w="29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最低温度影响</w:t>
            </w:r>
          </w:p>
        </w:tc>
      </w:tr>
    </w:tbl>
    <w:p>
      <w:pPr>
        <w:pStyle w:val="Heading2"/>
      </w:pPr>
      <w:r>
        <w:t xml:space="preserve">6.2 CIPS 2008模型（推荐）</w:t>
      </w:r>
    </w:p>
    <w:p>
      <w:pPr>
        <w:spacing w:after="80"/>
      </w:pPr>
      <w:r>
        <w:t xml:space="preserve">由Bayerer等人（Infineon）提出的多参数经验模型：</w:t>
      </w:r>
    </w:p>
    <w:p>
      <w:pPr>
        <w:spacing w:after="120" w:before="120"/>
        <w:jc w:val="center"/>
      </w:pPr>
      <w:r>
        <w:rPr>
          <w:b/>
          <w:bCs/>
        </w:rPr>
        <w:t xml:space="preserve">Nf = K × (ΔTj)^β1 × exp(β2/Tj_max) × ton^β3 × I^β4 × V^β5 × D^β6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460"/>
      </w:tblGrid>
      <w:tr>
        <w:tc>
          <w:tcPr>
            <w:tcW w:type="dxa" w:w="15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参数</w:t>
            </w:r>
          </w:p>
        </w:tc>
        <w:tc>
          <w:tcPr>
            <w:tcW w:type="dxa" w:w="30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含义</w:t>
            </w:r>
          </w:p>
        </w:tc>
        <w:tc>
          <w:tcPr>
            <w:tcW w:type="dxa" w:w="24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典型值</w:t>
            </w:r>
          </w:p>
        </w:tc>
        <w:tc>
          <w:tcPr>
            <w:tcW w:type="dxa" w:w="24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有效范围</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K</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技术系数</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需拟合</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ΔTj</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结温波动(K)</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60~150 K</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Tj_max</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最高结温(K)</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398~523 K</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ton</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加热时间(s)</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1~60 s</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I</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负载电流(A)</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器件相关</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V</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阻断电压(V)</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600~1700 V</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D</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键合线直径(μm)</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100~400 μm</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β1</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温度波动指数</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-4.423</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r>
        <w:tc>
          <w:tcPr>
            <w:tcW w:type="dxa" w:w="1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β2</w:t>
            </w:r>
          </w:p>
        </w:tc>
        <w:tc>
          <w:tcPr>
            <w:tcW w:type="dxa" w:w="3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最高温度系数</w:t>
            </w:r>
          </w:p>
        </w:tc>
        <w:tc>
          <w:tcPr>
            <w:tcW w:type="dxa" w:w="24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1285</w:t>
            </w:r>
          </w:p>
        </w:tc>
        <w:tc>
          <w:tcPr>
            <w:tcW w:type="dxa" w:w="24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bl>
    <w:p>
      <w:pPr>
        <w:pStyle w:val="Heading2"/>
      </w:pPr>
      <w:r>
        <w:t xml:space="preserve">6.3 模型参数拟合流程</w:t>
      </w:r>
    </w:p>
    <w:p>
      <w:pPr>
        <w:pStyle w:val="ListParagraph"/>
        <w:numPr>
          <w:ilvl w:val="0"/>
          <w:numId w:val="6"/>
        </w:numPr>
      </w:pPr>
      <w:r>
        <w:t xml:space="preserve">Weibull分析：对每组试验条件的失效数据进行Weibull分布拟合</w:t>
      </w:r>
    </w:p>
    <w:p>
      <w:pPr>
        <w:pStyle w:val="ListParagraph"/>
        <w:numPr>
          <w:ilvl w:val="0"/>
          <w:numId w:val="6"/>
        </w:numPr>
      </w:pPr>
      <w:r>
        <w:t xml:space="preserve">提取特征寿命：获取B10、B50、B63.2寿命</w:t>
      </w:r>
    </w:p>
    <w:p>
      <w:pPr>
        <w:pStyle w:val="ListParagraph"/>
        <w:numPr>
          <w:ilvl w:val="0"/>
          <w:numId w:val="6"/>
        </w:numPr>
      </w:pPr>
      <w:r>
        <w:t xml:space="preserve">多元回归：采用非线性最小二乘法拟合模型参数</w:t>
      </w:r>
    </w:p>
    <w:p>
      <w:pPr>
        <w:pStyle w:val="ListParagraph"/>
        <w:numPr>
          <w:ilvl w:val="0"/>
          <w:numId w:val="6"/>
        </w:numPr>
      </w:pPr>
      <w:r>
        <w:t xml:space="preserve">交叉验证：留出部分数据进行预测验证</w:t>
      </w:r>
    </w:p>
    <w:p>
      <w:pPr>
        <w:pStyle w:val="ListParagraph"/>
        <w:numPr>
          <w:ilvl w:val="0"/>
          <w:numId w:val="6"/>
        </w:numPr>
      </w:pPr>
      <w:r>
        <w:t xml:space="preserve">FEA仿真验证：建立有限元模型验证模型物理合理性</w:t>
      </w:r>
    </w:p>
    <w:p>
      <w:r>
        <w:br w:type="page"/>
      </w:r>
    </w:p>
    <w:p>
      <w:pPr>
        <w:pStyle w:val="Heading1"/>
      </w:pPr>
      <w:r>
        <w:t xml:space="preserve">7 项目进度计划</w:t>
      </w:r>
    </w:p>
    <w:p>
      <w:pPr>
        <w:pStyle w:val="Heading2"/>
      </w:pPr>
      <w:r>
        <w:t xml:space="preserve">7.1 总体进度（18个月）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阶段</w:t>
            </w:r>
          </w:p>
        </w:tc>
        <w:tc>
          <w:tcPr>
            <w:tcW w:type="dxa" w:w="20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时间</w:t>
            </w:r>
          </w:p>
        </w:tc>
        <w:tc>
          <w:tcPr>
            <w:tcW w:type="dxa" w:w="55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主要工作内容</w:t>
            </w:r>
          </w:p>
        </w:tc>
      </w:tr>
      <w:tr>
        <w:tc>
          <w:tcPr>
            <w:tcW w:type="dxa" w:w="1800"/>
            <w:tcBorders>
              <w:top w:val="single" w:color="000000" w:sz="1"/>
              <w:left w:val="single" w:color="000000" w:sz="1"/>
              <w:bottom w:val="single" w:color="000000" w:sz="1"/>
              <w:right w:val="single" w:color="000000" w:sz="1"/>
            </w:tcBorders>
            <w:shd w:fill="D6E3F0" w:val="clear"/>
            <w:vAlign w:val="center"/>
          </w:tcPr>
          <w:p>
            <w:pPr>
              <w:jc w:val="left"/>
            </w:pPr>
            <w:r>
              <w:rPr>
                <w:b w:val="false"/>
                <w:bCs w:val="false"/>
                <w:color w:val="000000"/>
                <w:sz w:val="21"/>
                <w:szCs w:val="21"/>
              </w:rPr>
              <w:t xml:space="preserve">阶段一</w:t>
            </w:r>
          </w:p>
        </w:tc>
        <w:tc>
          <w:tcPr>
            <w:tcW w:type="dxa" w:w="2000"/>
            <w:tcBorders>
              <w:top w:val="single" w:color="000000" w:sz="1"/>
              <w:left w:val="single" w:color="000000" w:sz="1"/>
              <w:bottom w:val="single" w:color="000000" w:sz="1"/>
              <w:right w:val="single" w:color="000000" w:sz="1"/>
            </w:tcBorders>
            <w:shd w:fill="D6E3F0" w:val="clear"/>
            <w:vAlign w:val="center"/>
          </w:tcPr>
          <w:p>
            <w:pPr>
              <w:jc w:val="left"/>
            </w:pPr>
            <w:r>
              <w:rPr>
                <w:b w:val="false"/>
                <w:bCs w:val="false"/>
                <w:color w:val="000000"/>
                <w:sz w:val="21"/>
                <w:szCs w:val="21"/>
              </w:rPr>
              <w:t xml:space="preserve">第1~4月</w:t>
            </w:r>
          </w:p>
        </w:tc>
        <w:tc>
          <w:tcPr>
            <w:tcW w:type="dxa" w:w="5560"/>
            <w:tcBorders>
              <w:top w:val="single" w:color="000000" w:sz="1"/>
              <w:left w:val="single" w:color="000000" w:sz="1"/>
              <w:bottom w:val="single" w:color="000000" w:sz="1"/>
              <w:right w:val="single" w:color="000000" w:sz="1"/>
            </w:tcBorders>
            <w:shd w:fill="D6E3F0" w:val="clear"/>
            <w:vAlign w:val="center"/>
          </w:tcPr>
          <w:p>
            <w:pPr>
              <w:jc w:val="left"/>
            </w:pPr>
            <w:r>
              <w:rPr>
                <w:b w:val="false"/>
                <w:bCs w:val="false"/>
                <w:color w:val="000000"/>
                <w:sz w:val="21"/>
                <w:szCs w:val="21"/>
              </w:rPr>
              <w:t xml:space="preserve">基础能力建设：试验平台搭建、标准梳理、TSEP标定方法研究</w:t>
            </w:r>
          </w:p>
        </w:tc>
      </w:tr>
      <w:tr>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阶段二</w:t>
            </w:r>
          </w:p>
        </w:tc>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第4~12月</w:t>
            </w:r>
          </w:p>
        </w:tc>
        <w:tc>
          <w:tcPr>
            <w:tcW w:type="dxa" w:w="5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系统性PC试验：Si IGBT、SiC MOSFET试验、中间失效分析</w:t>
            </w:r>
          </w:p>
        </w:tc>
      </w:tr>
      <w:tr>
        <w:tc>
          <w:tcPr>
            <w:tcW w:type="dxa" w:w="1800"/>
            <w:tcBorders>
              <w:top w:val="single" w:color="000000" w:sz="1"/>
              <w:left w:val="single" w:color="000000" w:sz="1"/>
              <w:bottom w:val="single" w:color="000000" w:sz="1"/>
              <w:right w:val="single" w:color="000000" w:sz="1"/>
            </w:tcBorders>
            <w:shd w:fill="D6E3F0" w:val="clear"/>
            <w:vAlign w:val="center"/>
          </w:tcPr>
          <w:p>
            <w:pPr>
              <w:jc w:val="left"/>
            </w:pPr>
            <w:r>
              <w:rPr>
                <w:b w:val="false"/>
                <w:bCs w:val="false"/>
                <w:color w:val="000000"/>
                <w:sz w:val="21"/>
                <w:szCs w:val="21"/>
              </w:rPr>
              <w:t xml:space="preserve">阶段三</w:t>
            </w:r>
          </w:p>
        </w:tc>
        <w:tc>
          <w:tcPr>
            <w:tcW w:type="dxa" w:w="2000"/>
            <w:tcBorders>
              <w:top w:val="single" w:color="000000" w:sz="1"/>
              <w:left w:val="single" w:color="000000" w:sz="1"/>
              <w:bottom w:val="single" w:color="000000" w:sz="1"/>
              <w:right w:val="single" w:color="000000" w:sz="1"/>
            </w:tcBorders>
            <w:shd w:fill="D6E3F0" w:val="clear"/>
            <w:vAlign w:val="center"/>
          </w:tcPr>
          <w:p>
            <w:pPr>
              <w:jc w:val="left"/>
            </w:pPr>
            <w:r>
              <w:rPr>
                <w:b w:val="false"/>
                <w:bCs w:val="false"/>
                <w:color w:val="000000"/>
                <w:sz w:val="21"/>
                <w:szCs w:val="21"/>
              </w:rPr>
              <w:t xml:space="preserve">第10~16月</w:t>
            </w:r>
          </w:p>
        </w:tc>
        <w:tc>
          <w:tcPr>
            <w:tcW w:type="dxa" w:w="5560"/>
            <w:tcBorders>
              <w:top w:val="single" w:color="000000" w:sz="1"/>
              <w:left w:val="single" w:color="000000" w:sz="1"/>
              <w:bottom w:val="single" w:color="000000" w:sz="1"/>
              <w:right w:val="single" w:color="000000" w:sz="1"/>
            </w:tcBorders>
            <w:shd w:fill="D6E3F0" w:val="clear"/>
            <w:vAlign w:val="center"/>
          </w:tcPr>
          <w:p>
            <w:pPr>
              <w:jc w:val="left"/>
            </w:pPr>
            <w:r>
              <w:rPr>
                <w:b w:val="false"/>
                <w:bCs w:val="false"/>
                <w:color w:val="000000"/>
                <w:sz w:val="21"/>
                <w:szCs w:val="21"/>
              </w:rPr>
              <w:t xml:space="preserve">模型构建与验证：Weibull分析、模型参数拟合、FEA仿真</w:t>
            </w:r>
          </w:p>
        </w:tc>
      </w:tr>
      <w:tr>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阶段四</w:t>
            </w:r>
          </w:p>
        </w:tc>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第14~18月</w:t>
            </w:r>
          </w:p>
        </w:tc>
        <w:tc>
          <w:tcPr>
            <w:tcW w:type="dxa" w:w="55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应用与推广：设计准则制定、工具开发、标准发布</w:t>
            </w:r>
          </w:p>
        </w:tc>
      </w:tr>
    </w:tbl>
    <w:p>
      <w:pPr>
        <w:pStyle w:val="Heading2"/>
      </w:pPr>
      <w:r>
        <w:t xml:space="preserve">7.2 里程碑</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里程碑</w:t>
            </w:r>
          </w:p>
        </w:tc>
        <w:tc>
          <w:tcPr>
            <w:tcW w:type="dxa" w:w="20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时间节点</w:t>
            </w:r>
          </w:p>
        </w:tc>
        <w:tc>
          <w:tcPr>
            <w:tcW w:type="dxa" w:w="58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验收标准</w:t>
            </w:r>
          </w:p>
        </w:tc>
      </w:tr>
      <w:tr>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M1</w:t>
            </w:r>
          </w:p>
        </w:tc>
        <w:tc>
          <w:tcPr>
            <w:tcW w:type="dxa" w:w="20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第1月</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项目启动，完成详细试验方案</w:t>
            </w:r>
          </w:p>
        </w:tc>
      </w:tr>
      <w:tr>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M2</w:t>
            </w:r>
          </w:p>
        </w:tc>
        <w:tc>
          <w:tcPr>
            <w:tcW w:type="dxa" w:w="20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第4月</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试验平台验收，TSEP标定规程完成</w:t>
            </w:r>
          </w:p>
        </w:tc>
      </w:tr>
      <w:tr>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M3</w:t>
            </w:r>
          </w:p>
        </w:tc>
        <w:tc>
          <w:tcPr>
            <w:tcW w:type="dxa" w:w="20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第8月</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中期评审，完成50%试验数据采集</w:t>
            </w:r>
          </w:p>
        </w:tc>
      </w:tr>
      <w:tr>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M4</w:t>
            </w:r>
          </w:p>
        </w:tc>
        <w:tc>
          <w:tcPr>
            <w:tcW w:type="dxa" w:w="20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第14月</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模型参数拟合完成，初步寿命预测工具发布</w:t>
            </w:r>
          </w:p>
        </w:tc>
      </w:tr>
      <w:tr>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M5</w:t>
            </w:r>
          </w:p>
        </w:tc>
        <w:tc>
          <w:tcPr>
            <w:tcW w:type="dxa" w:w="20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第18月</w:t>
            </w:r>
          </w:p>
        </w:tc>
        <w:tc>
          <w:tcPr>
            <w:tcW w:type="dxa" w:w="5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项目结题，交付物全部完成</w:t>
            </w:r>
          </w:p>
        </w:tc>
      </w:tr>
    </w:tbl>
    <w:p>
      <w:r>
        <w:br w:type="page"/>
      </w:r>
    </w:p>
    <w:p>
      <w:pPr>
        <w:pStyle w:val="Heading1"/>
      </w:pPr>
      <w:r>
        <w:t xml:space="preserve">8 交付物清单</w:t>
      </w:r>
    </w:p>
    <w:p>
      <w:pPr>
        <w:pStyle w:val="Heading2"/>
      </w:pPr>
      <w:r>
        <w:t xml:space="preserve">8.1 技术文档交付物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00"/>
        <w:gridCol w:w="1600"/>
        <w:gridCol w:w="1860"/>
      </w:tblGrid>
      <w:tr>
        <w:tc>
          <w:tcPr>
            <w:tcW w:type="dxa" w:w="6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序号</w:t>
            </w:r>
          </w:p>
        </w:tc>
        <w:tc>
          <w:tcPr>
            <w:tcW w:type="dxa" w:w="35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成果名称</w:t>
            </w:r>
          </w:p>
        </w:tc>
        <w:tc>
          <w:tcPr>
            <w:tcW w:type="dxa" w:w="18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形式</w:t>
            </w:r>
          </w:p>
        </w:tc>
        <w:tc>
          <w:tcPr>
            <w:tcW w:type="dxa" w:w="16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交付时间</w:t>
            </w:r>
          </w:p>
        </w:tc>
        <w:tc>
          <w:tcPr>
            <w:tcW w:type="dxa" w:w="18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责任人</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PC试验平台验收报告</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技术报告</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第4月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平台组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TSEP标定方法与规程</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操作规程</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第3月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测试组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3</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PC试验标准操作规程（SOP）</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企业标准</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第4月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质量组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4</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Si IGBT PC试验数据集</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数据库</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第12月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试验组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SiC MOSFET PC试验数据集</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数据库</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第12月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试验组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6</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失效分析报告（各器件类型）</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技术报告</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第12月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分析组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7</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寿命预测模型（Bayerer型+物理基）</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报告+代码</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第16月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模型组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FEA仿真模型及验证报告</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仿真文件</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第16月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仿真组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9</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可靠性设计准则手册</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设计手册</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第18月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设计组</w:t>
            </w:r>
          </w:p>
        </w:tc>
      </w:tr>
    </w:tbl>
    <w:p>
      <w:pPr>
        <w:pStyle w:val="Heading2"/>
      </w:pPr>
      <w:r>
        <w:t xml:space="preserve">8.2 软件工具交付物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00"/>
        <w:gridCol w:w="1600"/>
        <w:gridCol w:w="1860"/>
      </w:tblGrid>
      <w:tr>
        <w:tc>
          <w:tcPr>
            <w:tcW w:type="dxa" w:w="6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序号</w:t>
            </w:r>
          </w:p>
        </w:tc>
        <w:tc>
          <w:tcPr>
            <w:tcW w:type="dxa" w:w="35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成果名称</w:t>
            </w:r>
          </w:p>
        </w:tc>
        <w:tc>
          <w:tcPr>
            <w:tcW w:type="dxa" w:w="18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形式</w:t>
            </w:r>
          </w:p>
        </w:tc>
        <w:tc>
          <w:tcPr>
            <w:tcW w:type="dxa" w:w="16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交付时间</w:t>
            </w:r>
          </w:p>
        </w:tc>
        <w:tc>
          <w:tcPr>
            <w:tcW w:type="dxa" w:w="18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备注</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10</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功率模块寿命分析软件V2.0</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软件安装包</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第14月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含源码</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11</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寿命预测工具（Python/MATLAB）</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脚本代码</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第16月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API接口</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w:t>
            </w:r>
          </w:p>
        </w:tc>
        <w:tc>
          <w:tcPr>
            <w:tcW w:type="dxa" w:w="3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试验数据管理系统</w:t>
            </w:r>
          </w:p>
        </w:tc>
        <w:tc>
          <w:tcPr>
            <w:tcW w:type="dxa" w:w="18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Web应用</w:t>
            </w:r>
          </w:p>
        </w:tc>
        <w:tc>
          <w:tcPr>
            <w:tcW w:type="dxa" w:w="1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第6月</w:t>
            </w:r>
          </w:p>
        </w:tc>
        <w:tc>
          <w:tcPr>
            <w:tcW w:type="dxa" w:w="18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w:t>
            </w:r>
          </w:p>
        </w:tc>
      </w:tr>
    </w:tbl>
    <w:p>
      <w:pPr>
        <w:pStyle w:val="Heading2"/>
      </w:pPr>
      <w:r>
        <w:t xml:space="preserve">8.3 知识产权交付物</w:t>
      </w:r>
    </w:p>
    <w:p>
      <w:pPr>
        <w:pStyle w:val="ListParagraph"/>
        <w:numPr>
          <w:ilvl w:val="0"/>
          <w:numId w:val="3"/>
        </w:numPr>
      </w:pPr>
      <w:r>
        <w:t xml:space="preserve">发明专利申请：至少1~2项（寿命预测方法/试验装置）</w:t>
      </w:r>
    </w:p>
    <w:p>
      <w:pPr>
        <w:pStyle w:val="ListParagraph"/>
        <w:numPr>
          <w:ilvl w:val="0"/>
          <w:numId w:val="3"/>
        </w:numPr>
      </w:pPr>
      <w:r>
        <w:t xml:space="preserve">技术论文：1~2篇（国内核心期刊或国际会议）</w:t>
      </w:r>
    </w:p>
    <w:p>
      <w:pPr>
        <w:pStyle w:val="ListParagraph"/>
        <w:numPr>
          <w:ilvl w:val="0"/>
          <w:numId w:val="3"/>
        </w:numPr>
      </w:pPr>
      <w:r>
        <w:t xml:space="preserve">技术秘密/Know-how：PC试验关键参数、失效分析方法等</w:t>
      </w:r>
    </w:p>
    <w:p>
      <w:r>
        <w:br w:type="page"/>
      </w:r>
    </w:p>
    <w:p>
      <w:pPr>
        <w:pStyle w:val="Heading1"/>
      </w:pPr>
      <w:r>
        <w:t xml:space="preserve">9 资源需求</w:t>
      </w:r>
    </w:p>
    <w:p>
      <w:pPr>
        <w:pStyle w:val="Heading2"/>
      </w:pPr>
      <w:r>
        <w:t xml:space="preserve">9.1 人员配置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角色</w:t>
            </w:r>
          </w:p>
        </w:tc>
        <w:tc>
          <w:tcPr>
            <w:tcW w:type="dxa" w:w="12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人数</w:t>
            </w:r>
          </w:p>
        </w:tc>
        <w:tc>
          <w:tcPr>
            <w:tcW w:type="dxa" w:w="61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职责</w:t>
            </w:r>
          </w:p>
        </w:tc>
      </w:tr>
      <w:tr>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项目负责人</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w:t>
            </w:r>
          </w:p>
        </w:tc>
        <w:tc>
          <w:tcPr>
            <w:tcW w:type="dxa" w:w="61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总体协调、进度管理、资源调配</w:t>
            </w:r>
          </w:p>
        </w:tc>
      </w:tr>
      <w:tr>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试验工程师</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2~3</w:t>
            </w:r>
          </w:p>
        </w:tc>
        <w:tc>
          <w:tcPr>
            <w:tcW w:type="dxa" w:w="61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PC试验执行、数据采集、设备维护</w:t>
            </w:r>
          </w:p>
        </w:tc>
      </w:tr>
      <w:tr>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失效分析工程师</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1~2</w:t>
            </w:r>
          </w:p>
        </w:tc>
        <w:tc>
          <w:tcPr>
            <w:tcW w:type="dxa" w:w="61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失效分析、SAM/X-ray/SEM操作</w:t>
            </w:r>
          </w:p>
        </w:tc>
      </w:tr>
      <w:tr>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仿真工程师</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w:t>
            </w:r>
          </w:p>
        </w:tc>
        <w:tc>
          <w:tcPr>
            <w:tcW w:type="dxa" w:w="61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FEA建模、热-机械仿真</w:t>
            </w:r>
          </w:p>
        </w:tc>
      </w:tr>
      <w:tr>
        <w:tc>
          <w:tcPr>
            <w:tcW w:type="dxa" w:w="20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算法工程师</w:t>
            </w:r>
          </w:p>
        </w:tc>
        <w:tc>
          <w:tcPr>
            <w:tcW w:type="dxa" w:w="12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w:t>
            </w:r>
          </w:p>
        </w:tc>
        <w:tc>
          <w:tcPr>
            <w:tcW w:type="dxa" w:w="61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寿命模型开发、软件工具开发</w:t>
            </w:r>
          </w:p>
        </w:tc>
      </w:tr>
    </w:tbl>
    <w:p>
      <w:pPr>
        <w:pStyle w:val="Heading2"/>
      </w:pPr>
      <w:r>
        <w:t xml:space="preserve">9.2 设备预算（估算）</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设备/项目</w:t>
            </w:r>
          </w:p>
        </w:tc>
        <w:tc>
          <w:tcPr>
            <w:tcW w:type="dxa" w:w="243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数量</w:t>
            </w:r>
          </w:p>
        </w:tc>
        <w:tc>
          <w:tcPr>
            <w:tcW w:type="dxa" w:w="243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预算（万元）</w:t>
            </w:r>
          </w:p>
        </w:tc>
      </w:tr>
      <w:tr>
        <w:tc>
          <w:tcPr>
            <w:tcW w:type="dxa" w:w="4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多通道PC试验台（≥8通道）</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1套</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150~250</w:t>
            </w:r>
          </w:p>
        </w:tc>
      </w:tr>
      <w:tr>
        <w:tc>
          <w:tcPr>
            <w:tcW w:type="dxa" w:w="4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声学显微镜（SAM）</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1台</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80~120</w:t>
            </w:r>
          </w:p>
        </w:tc>
      </w:tr>
      <w:tr>
        <w:tc>
          <w:tcPr>
            <w:tcW w:type="dxa" w:w="4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X-ray检测系统</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1台</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60~100</w:t>
            </w:r>
          </w:p>
        </w:tc>
      </w:tr>
      <w:tr>
        <w:tc>
          <w:tcPr>
            <w:tcW w:type="dxa" w:w="4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红外热成像仪</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1台</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15~30</w:t>
            </w:r>
          </w:p>
        </w:tc>
      </w:tr>
      <w:tr>
        <w:tc>
          <w:tcPr>
            <w:tcW w:type="dxa" w:w="4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SEM/EDS（如需新购）</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1台</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150~300</w:t>
            </w:r>
          </w:p>
        </w:tc>
      </w:tr>
      <w:tr>
        <w:tc>
          <w:tcPr>
            <w:tcW w:type="dxa" w:w="4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试验样品（IGBT/SiC模块）</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200只</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30~50</w:t>
            </w:r>
          </w:p>
        </w:tc>
      </w:tr>
      <w:tr>
        <w:tc>
          <w:tcPr>
            <w:tcW w:type="dxa" w:w="45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软件许可（ANSYS/COMSOL）</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2套</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20~40</w:t>
            </w:r>
          </w:p>
        </w:tc>
      </w:tr>
      <w:tr>
        <w:tc>
          <w:tcPr>
            <w:tcW w:type="dxa" w:w="4500"/>
            <w:tcBorders>
              <w:top w:val="single" w:color="000000" w:sz="1"/>
              <w:left w:val="single" w:color="000000" w:sz="1"/>
              <w:bottom w:val="single" w:color="000000" w:sz="1"/>
              <w:right w:val="single" w:color="000000" w:sz="1"/>
            </w:tcBorders>
            <w:vAlign w:val="center"/>
          </w:tcPr>
          <w:p>
            <w:pPr>
              <w:jc w:val="left"/>
            </w:pPr>
            <w:r>
              <w:rPr>
                <w:b/>
                <w:bCs/>
                <w:color w:val="000000"/>
                <w:sz w:val="21"/>
                <w:szCs w:val="21"/>
              </w:rPr>
              <w:t xml:space="preserve">合计</w:t>
            </w:r>
          </w:p>
        </w:tc>
        <w:tc>
          <w:tcPr>
            <w:tcW w:type="dxa" w:w="243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w:t>
            </w:r>
          </w:p>
        </w:tc>
        <w:tc>
          <w:tcPr>
            <w:tcW w:type="dxa" w:w="2430"/>
            <w:tcBorders>
              <w:top w:val="single" w:color="000000" w:sz="1"/>
              <w:left w:val="single" w:color="000000" w:sz="1"/>
              <w:bottom w:val="single" w:color="000000" w:sz="1"/>
              <w:right w:val="single" w:color="000000" w:sz="1"/>
            </w:tcBorders>
            <w:vAlign w:val="center"/>
          </w:tcPr>
          <w:p>
            <w:pPr>
              <w:jc w:val="center"/>
            </w:pPr>
            <w:r>
              <w:rPr>
                <w:b/>
                <w:bCs/>
                <w:color w:val="000000"/>
                <w:sz w:val="21"/>
                <w:szCs w:val="21"/>
              </w:rPr>
              <w:t xml:space="preserve">505~890</w:t>
            </w:r>
          </w:p>
        </w:tc>
      </w:tr>
    </w:tbl>
    <w:p>
      <w:r>
        <w:br w:type="page"/>
      </w:r>
    </w:p>
    <w:p>
      <w:pPr>
        <w:pStyle w:val="Heading1"/>
      </w:pPr>
      <w:r>
        <w:t xml:space="preserve">10 风险分析与应对措施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5060"/>
      </w:tblGrid>
      <w:tr>
        <w:tc>
          <w:tcPr>
            <w:tcW w:type="dxa" w:w="6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序号</w:t>
            </w:r>
          </w:p>
        </w:tc>
        <w:tc>
          <w:tcPr>
            <w:tcW w:type="dxa" w:w="22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风险描述</w:t>
            </w:r>
          </w:p>
        </w:tc>
        <w:tc>
          <w:tcPr>
            <w:tcW w:type="dxa" w:w="150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风险等级</w:t>
            </w:r>
          </w:p>
        </w:tc>
        <w:tc>
          <w:tcPr>
            <w:tcW w:type="dxa" w:w="5060"/>
            <w:tcBorders>
              <w:top w:val="single" w:color="000000" w:sz="1"/>
              <w:left w:val="single" w:color="000000" w:sz="1"/>
              <w:bottom w:val="single" w:color="000000" w:sz="1"/>
              <w:right w:val="single" w:color="000000" w:sz="1"/>
            </w:tcBorders>
            <w:shd w:fill="1F4E79" w:val="clear"/>
            <w:vAlign w:val="center"/>
          </w:tcPr>
          <w:p>
            <w:pPr>
              <w:jc w:val="center"/>
            </w:pPr>
            <w:r>
              <w:rPr>
                <w:b/>
                <w:bCs/>
                <w:color w:val="FFFFFF"/>
                <w:sz w:val="21"/>
                <w:szCs w:val="21"/>
              </w:rPr>
              <w:t xml:space="preserve">应对措施</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1</w:t>
            </w:r>
          </w:p>
        </w:tc>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试验平台交付延迟</w:t>
            </w:r>
          </w:p>
        </w:tc>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中</w:t>
            </w:r>
          </w:p>
        </w:tc>
        <w:tc>
          <w:tcPr>
            <w:tcW w:type="dxa" w:w="50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提前采购、制定备选方案、预留缓冲时间</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2</w:t>
            </w:r>
          </w:p>
        </w:tc>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样品供应不足或批次差异大</w:t>
            </w:r>
          </w:p>
        </w:tc>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中</w:t>
            </w:r>
          </w:p>
        </w:tc>
        <w:tc>
          <w:tcPr>
            <w:tcW w:type="dxa" w:w="50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多渠道采购、同批次样品分组使用</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3</w:t>
            </w:r>
          </w:p>
        </w:tc>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失效分析设备故障</w:t>
            </w:r>
          </w:p>
        </w:tc>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低</w:t>
            </w:r>
          </w:p>
        </w:tc>
        <w:tc>
          <w:tcPr>
            <w:tcW w:type="dxa" w:w="50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设备维保合同、外协分析渠道</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4</w:t>
            </w:r>
          </w:p>
        </w:tc>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模型拟合精度不达标</w:t>
            </w:r>
          </w:p>
        </w:tc>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中</w:t>
            </w:r>
          </w:p>
        </w:tc>
        <w:tc>
          <w:tcPr>
            <w:tcW w:type="dxa" w:w="50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增加试验样本量、优化模型结构</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5</w:t>
            </w:r>
          </w:p>
        </w:tc>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SiC器件出现非预期失效模式</w:t>
            </w:r>
          </w:p>
        </w:tc>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高</w:t>
            </w:r>
          </w:p>
        </w:tc>
        <w:tc>
          <w:tcPr>
            <w:tcW w:type="dxa" w:w="50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预留研究裕量、及时调整试验方案</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6</w:t>
            </w:r>
          </w:p>
        </w:tc>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人员流动导致知识流失</w:t>
            </w:r>
          </w:p>
        </w:tc>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中</w:t>
            </w:r>
          </w:p>
        </w:tc>
        <w:tc>
          <w:tcPr>
            <w:tcW w:type="dxa" w:w="50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文档化、知识管理、交叉培训</w:t>
            </w:r>
          </w:p>
        </w:tc>
      </w:tr>
      <w:tr>
        <w:tc>
          <w:tcPr>
            <w:tcW w:type="dxa" w:w="6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7</w:t>
            </w:r>
          </w:p>
        </w:tc>
        <w:tc>
          <w:tcPr>
            <w:tcW w:type="dxa" w:w="220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预算超支</w:t>
            </w:r>
          </w:p>
        </w:tc>
        <w:tc>
          <w:tcPr>
            <w:tcW w:type="dxa" w:w="1500"/>
            <w:tcBorders>
              <w:top w:val="single" w:color="000000" w:sz="1"/>
              <w:left w:val="single" w:color="000000" w:sz="1"/>
              <w:bottom w:val="single" w:color="000000" w:sz="1"/>
              <w:right w:val="single" w:color="000000" w:sz="1"/>
            </w:tcBorders>
            <w:vAlign w:val="center"/>
          </w:tcPr>
          <w:p>
            <w:pPr>
              <w:jc w:val="center"/>
            </w:pPr>
            <w:r>
              <w:rPr>
                <w:b w:val="false"/>
                <w:bCs w:val="false"/>
                <w:color w:val="000000"/>
                <w:sz w:val="21"/>
                <w:szCs w:val="21"/>
              </w:rPr>
              <w:t xml:space="preserve">低</w:t>
            </w:r>
          </w:p>
        </w:tc>
        <w:tc>
          <w:tcPr>
            <w:tcW w:type="dxa" w:w="5060"/>
            <w:tcBorders>
              <w:top w:val="single" w:color="000000" w:sz="1"/>
              <w:left w:val="single" w:color="000000" w:sz="1"/>
              <w:bottom w:val="single" w:color="000000" w:sz="1"/>
              <w:right w:val="single" w:color="000000" w:sz="1"/>
            </w:tcBorders>
            <w:vAlign w:val="center"/>
          </w:tcPr>
          <w:p>
            <w:pPr>
              <w:jc w:val="left"/>
            </w:pPr>
            <w:r>
              <w:rPr>
                <w:b w:val="false"/>
                <w:bCs w:val="false"/>
                <w:color w:val="000000"/>
                <w:sz w:val="21"/>
                <w:szCs w:val="21"/>
              </w:rPr>
              <w:t xml:space="preserve">分阶段预算控制、优先级管理</w:t>
            </w:r>
          </w:p>
        </w:tc>
      </w:tr>
    </w:tbl>
    <w:p>
      <w:pPr>
        <w:spacing w:before="600"/>
      </w:pPr>
    </w:p>
    <w:p>
      <w:pPr>
        <w:jc w:val="center"/>
      </w:pPr>
      <w:r>
        <w:rPr>
          <w:b/>
          <w:bCs/>
          <w:sz w:val="24"/>
          <w:szCs w:val="24"/>
        </w:rPr>
        <w:t xml:space="preserve">—— 文档结束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 / 共 </w:t>
    </w:r>
    <w:r>
      <w:rPr>
        <w:sz w:val="18"/>
        <w:szCs w:val="18"/>
      </w:rPr>
      <w:fldChar w:fldCharType="begin"/>
      <w:instrText xml:space="preserve">NUMPAGES</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功率器件功率循环试验研究方案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480"/>
      <w:jc w:val="center"/>
    </w:pPr>
    <w:rPr>
      <w:rFonts w:ascii="SimHei" w:cs="SimHei" w:eastAsia="SimHei" w:hAnsi="SimHei"/>
      <w:b/>
      <w:bCs/>
      <w:sz w:val="44"/>
      <w:szCs w:val="44"/>
    </w:rPr>
  </w:style>
  <w:style w:type="paragraph" w:styleId="Heading1">
    <w:name w:val="Heading 1"/>
    <w:basedOn w:val="Normal"/>
    <w:next w:val="Normal"/>
    <w:qFormat/>
    <w:pPr>
      <w:spacing w:after="180" w:before="360"/>
      <w:outlineLvl w:val="0"/>
    </w:pPr>
    <w:rPr>
      <w:rFonts w:ascii="SimHei" w:cs="SimHei" w:eastAsia="SimHei" w:hAnsi="SimHei"/>
      <w:b/>
      <w:bCs/>
      <w:sz w:val="32"/>
      <w:szCs w:val="32"/>
    </w:rPr>
  </w:style>
  <w:style w:type="paragraph" w:styleId="Heading2">
    <w:name w:val="Heading 2"/>
    <w:basedOn w:val="Normal"/>
    <w:next w:val="Normal"/>
    <w:qFormat/>
    <w:pPr>
      <w:spacing w:after="120" w:before="240"/>
      <w:outlineLvl w:val="1"/>
    </w:pPr>
    <w:rPr>
      <w:rFonts w:ascii="SimHei" w:cs="SimHei" w:eastAsia="SimHei" w:hAnsi="SimHei"/>
      <w:b/>
      <w:bCs/>
      <w:sz w:val="28"/>
      <w:szCs w:val="28"/>
    </w:rPr>
  </w:style>
  <w:style w:type="paragraph" w:styleId="Heading3">
    <w:name w:val="Heading 3"/>
    <w:basedOn w:val="Normal"/>
    <w:next w:val="Normal"/>
    <w:qFormat/>
    <w:pPr>
      <w:spacing w:after="100" w:before="18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2026-02-28T06:00:51.376Z</dcterms:created>
  <dcterms:modified xsi:type="dcterms:W3CDTF">2026-02-28T06:00:51.376Z</dcterms:modified>
</cp:coreProperties>
</file>

<file path=docProps/custom.xml><?xml version="1.0" encoding="utf-8"?>
<Properties xmlns="http://schemas.openxmlformats.org/officeDocument/2006/custom-properties" xmlns:vt="http://schemas.openxmlformats.org/officeDocument/2006/docPropsVTypes"/>
</file>