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91314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578ABB8A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1F93A70B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779EEC2F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26585805">
      <w:pPr>
        <w:spacing w:line="300" w:lineRule="auto" w:before="0" w:after="0"/>
        <w:jc w:val="center"/>
        <w:rPr>
          <w:rFonts w:hint="default" w:ascii="Times New Roman" w:hAnsi="Times New Roman" w:eastAsia="宋体" w:cs="Times New Roman"/>
          <w:sz w:val="72"/>
          <w:szCs w:val="72"/>
        </w:rPr>
      </w:pPr>
      <w:r/>
      <w:r>
        <w:rPr>
          <w:rFonts w:ascii="Microsoft YaHei" w:hAnsi="Microsoft YaHei" w:eastAsia="微软雅黑" w:cs="Microsoft YaHei"/>
          <w:sz w:val="48"/>
        </w:rPr>
        <w:t>江苏某产业园20MW屋顶</w:t>
        <w:br/>
      </w:r>
      <w:r>
        <w:rPr>
          <w:rFonts w:ascii="Microsoft YaHei" w:hAnsi="Microsoft YaHei" w:eastAsia="微软雅黑" w:cs="Microsoft YaHei"/>
          <w:sz w:val="48"/>
        </w:rPr>
        <w:t>分布式光伏发电项目</w:t>
        <w:br/>
      </w:r>
      <w:r>
        <w:rPr>
          <w:rFonts w:ascii="Microsoft YaHei" w:hAnsi="Microsoft YaHei" w:eastAsia="微软雅黑" w:cs="Microsoft YaHei"/>
          <w:sz w:val="48"/>
        </w:rPr>
        <w:t>可行性分析报告</w:t>
      </w:r>
    </w:p>
    <w:p w14:paraId="26356E97">
      <w:pPr>
        <w:rPr>
          <w:rFonts w:hint="default" w:ascii="Times New Roman" w:hAnsi="Times New Roman" w:eastAsia="宋体" w:cs="Times New Roman"/>
        </w:rPr>
      </w:pPr>
    </w:p>
    <w:p w14:paraId="2825A6BC">
      <w:pPr>
        <w:rPr>
          <w:rFonts w:hint="default" w:ascii="Times New Roman" w:hAnsi="Times New Roman" w:eastAsia="宋体" w:cs="Times New Roman"/>
        </w:rPr>
      </w:pPr>
    </w:p>
    <w:p w14:paraId="36DBA3DA">
      <w:pPr>
        <w:rPr>
          <w:rFonts w:hint="default" w:ascii="Times New Roman" w:hAnsi="Times New Roman" w:eastAsia="宋体" w:cs="Times New Roman"/>
        </w:rPr>
      </w:pPr>
    </w:p>
    <w:p w14:paraId="0FBE3DDF">
      <w:pPr>
        <w:rPr>
          <w:rFonts w:hint="default" w:ascii="Times New Roman" w:hAnsi="Times New Roman" w:eastAsia="宋体" w:cs="Times New Roman"/>
        </w:rPr>
      </w:pPr>
    </w:p>
    <w:p w14:paraId="2795A2BF">
      <w:pPr>
        <w:rPr>
          <w:rFonts w:hint="default" w:ascii="Times New Roman" w:hAnsi="Times New Roman" w:eastAsia="宋体" w:cs="Times New Roman"/>
        </w:rPr>
      </w:pPr>
    </w:p>
    <w:p w14:paraId="07F6FA80">
      <w:pPr>
        <w:rPr>
          <w:rFonts w:hint="default" w:ascii="Times New Roman" w:hAnsi="Times New Roman" w:eastAsia="宋体" w:cs="Times New Roman"/>
        </w:rPr>
      </w:pPr>
    </w:p>
    <w:p w14:paraId="51750F4A">
      <w:pPr>
        <w:rPr>
          <w:rFonts w:hint="default" w:ascii="Times New Roman" w:hAnsi="Times New Roman" w:eastAsia="宋体" w:cs="Times New Roman"/>
        </w:rPr>
      </w:pPr>
    </w:p>
    <w:p w14:paraId="13D811FA">
      <w:pPr>
        <w:rPr>
          <w:rFonts w:hint="default" w:ascii="Times New Roman" w:hAnsi="Times New Roman" w:eastAsia="宋体" w:cs="Times New Roman"/>
        </w:rPr>
      </w:pPr>
    </w:p>
    <w:p w14:paraId="35753F28">
      <w:pPr>
        <w:rPr>
          <w:rFonts w:hint="default" w:ascii="Times New Roman" w:hAnsi="Times New Roman" w:eastAsia="宋体" w:cs="Times New Roman"/>
        </w:rPr>
      </w:pPr>
    </w:p>
    <w:p w14:paraId="42CC48C4">
      <w:pPr>
        <w:rPr>
          <w:rFonts w:hint="default" w:ascii="Times New Roman" w:hAnsi="Times New Roman" w:eastAsia="宋体" w:cs="Times New Roman"/>
        </w:rPr>
      </w:pPr>
    </w:p>
    <w:p w14:paraId="3A8167FF">
      <w:pPr>
        <w:rPr>
          <w:rFonts w:hint="default" w:ascii="Times New Roman" w:hAnsi="Times New Roman" w:eastAsia="宋体" w:cs="Times New Roman"/>
        </w:rPr>
      </w:pPr>
    </w:p>
    <w:p w14:paraId="5F976CAF">
      <w:pPr>
        <w:rPr>
          <w:rFonts w:hint="default" w:ascii="Times New Roman" w:hAnsi="Times New Roman" w:eastAsia="宋体" w:cs="Times New Roman"/>
        </w:rPr>
      </w:pPr>
    </w:p>
    <w:p w14:paraId="35697D05">
      <w:pPr>
        <w:rPr>
          <w:rFonts w:hint="default" w:ascii="Times New Roman" w:hAnsi="Times New Roman" w:eastAsia="宋体" w:cs="Times New Roman"/>
        </w:rPr>
      </w:pPr>
    </w:p>
    <w:p w14:paraId="187377EC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课程名称：工程经济导论</w:t>
      </w:r>
    </w:p>
    <w:p w14:paraId="311D2092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班级：____________________</w:t>
      </w:r>
    </w:p>
    <w:p w14:paraId="22A7688B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</w:rPr>
      </w:pPr>
      <w:r>
        <w:rPr>
          <w:rFonts w:ascii="Microsoft YaHei" w:hAnsi="Microsoft YaHei" w:eastAsia="微软雅黑" w:cs="Microsoft YaHei"/>
          <w:sz w:val="36"/>
        </w:rPr>
        <w:t>姓名：____________________</w:t>
      </w:r>
    </w:p>
    <w:p w14:paraId="07BABAC7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学号：____________________</w:t>
      </w:r>
    </w:p>
    <w:p w14:paraId="7A9985A2">
      <w:pPr>
        <w:rPr>
          <w:rFonts w:hint="default" w:ascii="Times New Roman" w:hAnsi="Times New Roman" w:eastAsia="宋体" w:cs="Times New Roman"/>
        </w:rPr>
      </w:pPr>
    </w:p>
    <w:p w14:paraId="55739C1B">
      <w:pPr>
        <w:rPr>
          <w:rFonts w:hint="default" w:ascii="Times New Roman" w:hAnsi="Times New Roman" w:eastAsia="宋体" w:cs="Times New Roman"/>
        </w:rPr>
      </w:pPr>
    </w:p>
    <w:p w14:paraId="4B96B82E">
      <w:pPr>
        <w:rPr>
          <w:rFonts w:hint="default" w:ascii="Times New Roman" w:hAnsi="Times New Roman" w:eastAsia="宋体" w:cs="Times New Roman"/>
        </w:rPr>
      </w:pPr>
    </w:p>
    <w:p w14:paraId="5E91AE01">
      <w:pPr>
        <w:rPr>
          <w:rFonts w:hint="default" w:ascii="Times New Roman" w:hAnsi="Times New Roman" w:eastAsia="宋体" w:cs="Times New Roman"/>
        </w:rPr>
      </w:pPr>
    </w:p>
    <w:p w14:paraId="4551C0AC">
      <w:pPr>
        <w:rPr>
          <w:rFonts w:hint="default" w:ascii="Times New Roman" w:hAnsi="Times New Roman" w:eastAsia="宋体" w:cs="Times New Roman"/>
        </w:rPr>
      </w:pPr>
    </w:p>
    <w:p w14:paraId="3C5B1B9E">
      <w:pPr>
        <w:rPr>
          <w:rFonts w:hint="default" w:ascii="Times New Roman" w:hAnsi="Times New Roman" w:eastAsia="宋体" w:cs="Times New Roman"/>
        </w:rPr>
      </w:pPr>
    </w:p>
    <w:p w14:paraId="2DEABEB2">
      <w:pPr>
        <w:rPr>
          <w:rFonts w:hint="default" w:ascii="Times New Roman" w:hAnsi="Times New Roman" w:eastAsia="宋体" w:cs="Times New Roman"/>
        </w:rPr>
      </w:pPr>
    </w:p>
    <w:p w14:paraId="740641C2">
      <w:pPr>
        <w:rPr>
          <w:rFonts w:hint="default" w:ascii="Times New Roman" w:hAnsi="Times New Roman" w:eastAsia="宋体" w:cs="Times New Roman"/>
        </w:rPr>
      </w:pPr>
    </w:p>
    <w:p w14:paraId="7DF5E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要求：</w:t>
      </w:r>
    </w:p>
    <w:p w14:paraId="5D43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（1）禁止直接复制A</w:t>
      </w:r>
      <w:r>
        <w:rPr>
          <w:rFonts w:hint="default" w:ascii="Times New Roman" w:hAnsi="Times New Roman" w:eastAsia="宋体" w:cs="Times New Roman"/>
          <w:sz w:val="24"/>
          <w:szCs w:val="28"/>
        </w:rPr>
        <w:t>I</w:t>
      </w:r>
      <w:r>
        <w:rPr>
          <w:rFonts w:hint="default" w:ascii="Times New Roman" w:hAnsi="Times New Roman" w:eastAsia="宋体" w:cs="Times New Roman"/>
          <w:sz w:val="24"/>
          <w:szCs w:val="28"/>
        </w:rPr>
        <w:t>生成的内容，一经查实不得分。</w:t>
      </w:r>
    </w:p>
    <w:p w14:paraId="5F0D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8"/>
        </w:rPr>
        <w:t>）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如果</w:t>
      </w:r>
      <w:r>
        <w:rPr>
          <w:rFonts w:hint="default" w:ascii="Times New Roman" w:hAnsi="Times New Roman" w:eastAsia="宋体" w:cs="Times New Roman"/>
          <w:sz w:val="24"/>
          <w:szCs w:val="28"/>
        </w:rPr>
        <w:t>涉及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到</w:t>
      </w:r>
      <w:r>
        <w:rPr>
          <w:rFonts w:hint="default" w:ascii="Times New Roman" w:hAnsi="Times New Roman" w:eastAsia="宋体" w:cs="Times New Roman"/>
          <w:sz w:val="24"/>
          <w:szCs w:val="28"/>
        </w:rPr>
        <w:t>图，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需自己绘制，</w:t>
      </w:r>
      <w:r>
        <w:rPr>
          <w:rFonts w:hint="default" w:ascii="Times New Roman" w:hAnsi="Times New Roman" w:eastAsia="宋体" w:cs="Times New Roman"/>
          <w:sz w:val="24"/>
          <w:szCs w:val="28"/>
        </w:rPr>
        <w:t>不可直接网上截图。</w:t>
      </w:r>
    </w:p>
    <w:p w14:paraId="6045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8"/>
        </w:rPr>
        <w:t>）内容围绕课程与课题，可结合外部资料（论文，期刊）扩展。</w:t>
      </w:r>
    </w:p>
    <w:p w14:paraId="3CB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</w:rPr>
        <w:t>）字数要求在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r>
        <w:rPr>
          <w:rFonts w:hint="default" w:ascii="Times New Roman" w:hAnsi="Times New Roman" w:eastAsia="宋体" w:cs="Times New Roman"/>
          <w:sz w:val="24"/>
          <w:szCs w:val="28"/>
        </w:rPr>
        <w:t>字以上。</w:t>
      </w:r>
    </w:p>
    <w:p w14:paraId="40F48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8"/>
        </w:rPr>
        <w:t>）参考文献需说明出处。</w:t>
      </w:r>
    </w:p>
    <w:p w14:paraId="07F1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8"/>
        </w:rPr>
        <w:t>）报告格式正确，无乱码，错别字。</w:t>
      </w:r>
    </w:p>
    <w:p w14:paraId="1647E653">
      <w:pPr>
        <w:rPr>
          <w:rFonts w:hint="default" w:ascii="Times New Roman" w:hAnsi="Times New Roman" w:eastAsia="宋体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17018B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总论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项目背景：</w:t>
      </w:r>
      <w:r>
        <w:rPr>
          <w:rFonts w:ascii="Microsoft YaHei" w:hAnsi="Microsoft YaHei" w:eastAsia="微软雅黑" w:cs="Microsoft YaHei"/>
          <w:sz w:val="24"/>
        </w:rPr>
        <w:t>这次课程报告我选择的是产业园屋顶分布式光伏项目。之所以选这个题目，主要是因为近几年“双碳”目标持续推进，很多制造业企业都开始关注用电成本和绿色用能问题。江苏本身工业基础强、用电量大，分布式光伏项目也比较常见，所以把它作为可行性分析对象，既贴近现实，也比较符合工程经济课程的学习内容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建设内容：</w:t>
      </w:r>
      <w:r>
        <w:rPr>
          <w:rFonts w:ascii="Microsoft YaHei" w:hAnsi="Microsoft YaHei" w:eastAsia="微软雅黑" w:cs="Microsoft YaHei"/>
          <w:sz w:val="24"/>
        </w:rPr>
        <w:t>本项目拟利用江苏某产业园已经建成的厂房、仓库和配套建筑屋面，建设总装机容量20MWp的屋顶分布式光伏发电系统。项目采用“自发自用、余电上网”的运行方式，同时配套逆变器、监控系统、消防设施、并网装置和后期运维系统。按照初步设想，建设期约为7个月，运营期按25年考虑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结论摘要：</w:t>
      </w:r>
      <w:r>
        <w:rPr>
          <w:rFonts w:ascii="Microsoft YaHei" w:hAnsi="Microsoft YaHei" w:eastAsia="微软雅黑" w:cs="Microsoft YaHei"/>
          <w:sz w:val="24"/>
        </w:rPr>
        <w:t>从屋面条件、园区负荷、并网消纳、环境影响和经济测算几个方面来看，这个项目都具备一定的实施基础。虽然本文的测算仍然是基于公开资料和合理假设完成的，但整体结果说明该项目具有较好的可行性，在实际中也有一定参考价值。</w:t>
      </w:r>
    </w:p>
    <w:p w14:paraId="3E0B5CF3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需求预测和拟建规模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需求分析：</w:t>
      </w:r>
      <w:r>
        <w:rPr>
          <w:rFonts w:ascii="Microsoft YaHei" w:hAnsi="Microsoft YaHei" w:eastAsia="微软雅黑" w:cs="Microsoft YaHei"/>
          <w:sz w:val="24"/>
        </w:rPr>
        <w:t>假设该产业园内的企业主要以装备制造、精密加工和物流仓储为主，这类企业通常白天用电较集中，而且全年生产比较稳定。若园区年用电量约为3,500万kWh，那么白天的基础负荷就能够为光伏消纳提供条件。光伏发出来的电优先在园区内部消耗，一方面可以减少外购电费用，另一方面也有助于提高企业的绿色用能比例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规模论证：</w:t>
      </w:r>
      <w:r>
        <w:rPr>
          <w:rFonts w:ascii="Microsoft YaHei" w:hAnsi="Microsoft YaHei" w:eastAsia="微软雅黑" w:cs="Microsoft YaHei"/>
          <w:sz w:val="24"/>
        </w:rPr>
        <w:t>根据屋面面积、遮挡情况、消防通道以及检修空间等条件进行估算，园区大约可以提供15.5万平方米左右的可利用屋面。按照目前较常见的组件布置方式测算，可形成约20MWp的装机容量。若继续扩大规模，可能会受到屋面承载、配电容量和自用比例下降等因素限制，因此20MWp可以认为是一个比较合适的建设规模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建设目标：</w:t>
      </w:r>
      <w:r>
        <w:rPr>
          <w:rFonts w:ascii="Microsoft YaHei" w:hAnsi="Microsoft YaHei" w:eastAsia="微软雅黑" w:cs="Microsoft YaHei"/>
          <w:sz w:val="24"/>
        </w:rPr>
        <w:t>本文按首年发电量2,050万kWh进行测算，其中约82%的电量由园区内部直接消纳，其余部分上网。这样既能满足园区白天的部分用电需求，也能兼顾项目收益和并网运行的稳定性。</w:t>
      </w:r>
    </w:p>
    <w:p w14:paraId="5D71269F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自然资源、原材料、燃料及公用设施情况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自然资源条件：</w:t>
      </w:r>
      <w:r>
        <w:rPr>
          <w:rFonts w:ascii="Microsoft YaHei" w:hAnsi="Microsoft YaHei" w:eastAsia="微软雅黑" w:cs="Microsoft YaHei"/>
          <w:sz w:val="24"/>
        </w:rPr>
        <w:t>江苏的太阳能资源条件虽然比不上西北地区，但整体上比较稳定，适合建设分布式光伏项目。结合近年的气象资料和华东地区屋顶光伏项目的一般情况，本文采用相对保守的年利用小时数进行估算，这样得出的结果会更稳妥一些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材料与设备供应：</w:t>
      </w:r>
      <w:r>
        <w:rPr>
          <w:rFonts w:ascii="Microsoft YaHei" w:hAnsi="Microsoft YaHei" w:eastAsia="微软雅黑" w:cs="Microsoft YaHei"/>
          <w:sz w:val="24"/>
        </w:rPr>
        <w:t>项目需要的主要设备包括N型单晶组件、组串式逆变器、支架、线缆、并网柜和监控平台等。这些产品在国内已经比较成熟，江苏及周边地区也有较多设备厂家和施工单位，因此从采购和供货角度看，项目实施难度不算大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燃料与公用工程：</w:t>
      </w:r>
      <w:r>
        <w:rPr>
          <w:rFonts w:ascii="Microsoft YaHei" w:hAnsi="Microsoft YaHei" w:eastAsia="微软雅黑" w:cs="Microsoft YaHei"/>
          <w:sz w:val="24"/>
        </w:rPr>
        <w:t>光伏项目在运行阶段不需要消耗煤、油、气等传统燃料，日常主要是少量清洗用水、值守用电和网络通信资源。如果园区原有10kV配电设施、道路和消防等基础条件较完善，那么施工、并网和后续运维都比较容易开展。</w:t>
      </w:r>
    </w:p>
    <w:p w14:paraId="1514C33E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建厂条件和方案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建设条件：</w:t>
      </w:r>
      <w:r>
        <w:rPr>
          <w:rFonts w:ascii="Microsoft YaHei" w:hAnsi="Microsoft YaHei" w:eastAsia="微软雅黑" w:cs="Microsoft YaHei"/>
          <w:sz w:val="24"/>
        </w:rPr>
        <w:t>项目场址位于已经投运的产业园区内，土地和房屋权属假定比较清晰，园区外部交通条件也较成熟。施工时可以利用现有道路和装卸区域进行材料运输与设备吊装。屋面类型以彩钢瓦和部分混凝土屋面为主，总体上适合建设屋顶光伏，但正式实施前仍然要逐栋复核荷载、防水和结构安全情况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方案比选：</w:t>
      </w:r>
      <w:r>
        <w:rPr>
          <w:rFonts w:ascii="Microsoft YaHei" w:hAnsi="Microsoft YaHei" w:eastAsia="微软雅黑" w:cs="Microsoft YaHei"/>
          <w:sz w:val="24"/>
        </w:rPr>
        <w:t>这里主要比较两种思路。第一种是“自发自用、余电上网”，优点是能更好地利用园区白天负荷，减少企业购电支出；第二种是“全额上网”，虽然运行方式更简单，但收益会更加依赖上网电价。综合来看，工商业屋顶光伏更适合采用第一种方式，因此本文建议选择“自发自用、余电上网”方案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推荐方案：</w:t>
      </w:r>
      <w:r>
        <w:rPr>
          <w:rFonts w:ascii="Microsoft YaHei" w:hAnsi="Microsoft YaHei" w:eastAsia="微软雅黑" w:cs="Microsoft YaHei"/>
          <w:sz w:val="24"/>
        </w:rPr>
        <w:t>从建设和后期管理角度看，推荐采用统一投资、集中运维、分区接入的方式。彩钢瓦屋面可优先采用专用夹具固定，尽量减少穿孔带来的渗漏风险；混凝土屋面则可以采用压载或锚栓等方式。同时还要留出检修通道和消防间距，保证后期运行安全。</w:t>
      </w:r>
    </w:p>
    <w:p w14:paraId="1A417764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设计方案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系统配置：</w:t>
      </w:r>
      <w:r>
        <w:rPr>
          <w:rFonts w:ascii="Microsoft YaHei" w:hAnsi="Microsoft YaHei" w:eastAsia="微软雅黑" w:cs="Microsoft YaHei"/>
          <w:sz w:val="24"/>
        </w:rPr>
        <w:t>项目拟采用620Wp级N型单晶硅组件，并配置1500V直流系统和320kW级组串式逆变器。另外还要设置必要的直流隔离、交流保护、汇流监测和远程运维平台。总体设计思路是分散布置、就近接入、统一监控，这样既方便发电，也便于后期检修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电气与结构设计：</w:t>
      </w:r>
      <w:r>
        <w:rPr>
          <w:rFonts w:ascii="Microsoft YaHei" w:hAnsi="Microsoft YaHei" w:eastAsia="微软雅黑" w:cs="Microsoft YaHei"/>
          <w:sz w:val="24"/>
        </w:rPr>
        <w:t>在布置组件时，要尽量避开女儿墙、采光带和通风设备，同时合理控制行距和检修通道。电气部分要考虑防雷接地、绝缘保护和消防联动等要求；结构部分则要重点考虑风荷载、屋面连接方式、防腐和排水问题，尽量不要影响原有建筑的正常使用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智慧运维设计：</w:t>
      </w:r>
      <w:r>
        <w:rPr>
          <w:rFonts w:ascii="Microsoft YaHei" w:hAnsi="Microsoft YaHei" w:eastAsia="微软雅黑" w:cs="Microsoft YaHei"/>
          <w:sz w:val="24"/>
        </w:rPr>
        <w:t>为了提高运行效率，项目还应配置发电监控、故障告警和基础报表功能。如果条件允许，也可以预留后续接入储能或综合能源管理系统的接口，这样将来在园区能源优化方面会更灵活。</w:t>
      </w:r>
    </w:p>
    <w:p w14:paraId="63F18612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环境保护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建设期环保措施：</w:t>
      </w:r>
      <w:r>
        <w:rPr>
          <w:rFonts w:ascii="Microsoft YaHei" w:hAnsi="Microsoft YaHei" w:eastAsia="微软雅黑" w:cs="Microsoft YaHei"/>
          <w:sz w:val="24"/>
        </w:rPr>
        <w:t>施工阶段的环境影响主要体现在设备运输、施工噪声、包装废弃物和少量扬尘等方面。这些问题总体可控，可以通过合理安排施工时间、及时清运废弃物、做好屋面作业防护等措施来减少影响，并尽量避开园区企业生产较忙的时段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运营期环境影响：</w:t>
      </w:r>
      <w:r>
        <w:rPr>
          <w:rFonts w:ascii="Microsoft YaHei" w:hAnsi="Microsoft YaHei" w:eastAsia="微软雅黑" w:cs="Microsoft YaHei"/>
          <w:sz w:val="24"/>
        </w:rPr>
        <w:t>项目运行后基本不会产生废气和废水，也不会像传统火电那样排放燃烧污染物，因此环境压力相对较小。不过仍然要注意逆变器噪声、报废元件回收和组件寿命结束后的处理问题。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综合效益：</w:t>
      </w:r>
      <w:r>
        <w:rPr>
          <w:rFonts w:ascii="Microsoft YaHei" w:hAnsi="Microsoft YaHei" w:eastAsia="微软雅黑" w:cs="Microsoft YaHei"/>
          <w:sz w:val="24"/>
        </w:rPr>
        <w:t>按首年发电量2,050万kWh估算，项目每年可减少二氧化碳排放约1.17万吨。除了减排作用外，它还能在一定程度上减少常规能源消耗，对提升园区绿色形象也有帮助。</w:t>
      </w:r>
    </w:p>
    <w:p w14:paraId="5489DC60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企业组织、劳动定员和人员培训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组织模式：</w:t>
      </w:r>
      <w:r>
        <w:rPr>
          <w:rFonts w:ascii="Microsoft YaHei" w:hAnsi="Microsoft YaHei" w:eastAsia="微软雅黑" w:cs="Microsoft YaHei"/>
          <w:sz w:val="24"/>
        </w:rPr>
        <w:t>从组织方式看，建设期可以由业主设立专门项目组，分别负责工程、采购、安全和协调工作；运营期则可以交由园区能源管理部门或专业运维单位统一管理。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劳动定员：</w:t>
      </w:r>
      <w:r>
        <w:rPr>
          <w:rFonts w:ascii="Microsoft YaHei" w:hAnsi="Microsoft YaHei" w:eastAsia="微软雅黑" w:cs="Microsoft YaHei"/>
          <w:sz w:val="24"/>
        </w:rPr>
        <w:t>项目投运后不需要太多常驻人员，初步考虑配置6名核心运维人员即可，包括项目负责人、电气技术人员、现场运维人员和安全管理人员。像组件清洗和专项检修这类工作，也可以根据需要外包处理。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培训要求：</w:t>
      </w:r>
      <w:r>
        <w:rPr>
          <w:rFonts w:ascii="Microsoft YaHei" w:hAnsi="Microsoft YaHei" w:eastAsia="微软雅黑" w:cs="Microsoft YaHei"/>
          <w:sz w:val="24"/>
        </w:rPr>
        <w:t>培训内容应包括高处作业、电气安全、消防应急、监控平台使用和日常缺陷处理等。关键岗位最好做到持证上岗，并定期复训，这样更有利于保障项目长期稳定运行。</w:t>
      </w:r>
    </w:p>
    <w:p w14:paraId="5FB5EFF1">
      <w:pPr>
        <w:pStyle w:val="2"/>
        <w:keepNext/>
        <w:pageBreakBefore/>
        <w:numPr>
          <w:ilvl w:val="0"/>
          <w:numId w:val="1"/>
        </w:numPr>
        <w:bidi w:val="0"/>
        <w:spacing w:after="160"/>
        <w:ind w:left="0" w:leftChars="0" w:firstLine="0" w:firstLine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实施进度的建议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总体安排：</w:t>
      </w:r>
      <w:r>
        <w:rPr>
          <w:rFonts w:ascii="Microsoft YaHei" w:hAnsi="Microsoft YaHei" w:eastAsia="微软雅黑" w:cs="Microsoft YaHei"/>
          <w:sz w:val="24"/>
        </w:rPr>
        <w:t>考虑到项目位于正常运行中的产业园内，实施时应按照“先审批、后施工、分批并网”的思路推进。其中比较关键的环节是屋面复核、设备采购和并网手续办理，这几个部分如果衔接不好，容易影响总工期。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表1  项目实施进度建议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9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阶段</w:t>
            </w:r>
          </w:p>
        </w:tc>
        <w:tc>
          <w:tcPr>
            <w:tcW w:type="dxa" w:w="5443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主要工作</w:t>
            </w:r>
          </w:p>
        </w:tc>
        <w:tc>
          <w:tcPr>
            <w:tcW w:type="dxa" w:w="181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建议工期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项目立项与可研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资料收集、方案论证、投资测算、项目决策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0.5个月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初设与并网报装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结构复核、系统设计、接入审查、手续申报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招标采购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组件、逆变器、支架及施工单位招采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屋面处理与基础施工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加固、防水节点处理、支架安装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1.5个月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设备安装与调试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组件敷设、电气接线、监控接入、单体调试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2.0个月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并网验收与试运行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联合验收、并网送电、消缺与移交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sz w:val="24"/>
        </w:rPr>
        <w:t>按照上表安排，项目总工期大约为7个月。如果并网审批比较顺利，且天气影响不大，工期还有适当压缩的可能。</w:t>
      </w:r>
    </w:p>
    <w:p w14:paraId="29C8E88E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投资估算和资金筹措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投资估算：</w:t>
      </w:r>
      <w:r>
        <w:rPr>
          <w:rFonts w:ascii="Microsoft YaHei" w:hAnsi="Microsoft YaHei" w:eastAsia="微软雅黑" w:cs="Microsoft YaHei"/>
          <w:sz w:val="24"/>
        </w:rPr>
        <w:t>本文按单位静态投资约3.6元/W进行估算，项目总投资约为7,200万元。该数值已经把设备采购、安装施工、并网接入、设计监理和预备费等因素考虑进去，但因为属于课程报告中的初步测算，所以和实际工程中的最终投资金额仍可能存在差异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表2  项目投资估算表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4649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费用项目</w:t>
            </w:r>
          </w:p>
        </w:tc>
        <w:tc>
          <w:tcPr>
            <w:tcW w:type="dxa" w:w="22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金额（万元）</w:t>
            </w:r>
          </w:p>
        </w:tc>
        <w:tc>
          <w:tcPr>
            <w:tcW w:type="dxa" w:w="243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占比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光伏组件及逆变器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4,200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58.3%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支架、线缆及配电设备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16.7%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安装工程费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900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12.5%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设计、监理及手续费用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300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4.2%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基本预备费及其他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600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8.3%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合计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7,200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100.0%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资金筹措：</w:t>
      </w:r>
      <w:r>
        <w:rPr>
          <w:rFonts w:ascii="Microsoft YaHei" w:hAnsi="Microsoft YaHei" w:eastAsia="微软雅黑" w:cs="Microsoft YaHei"/>
          <w:sz w:val="24"/>
        </w:rPr>
        <w:t>资金方面可以采用“资本金+银行贷款”的方式筹措。例如资本金按30%考虑，大约需要2,160万元；其余70%通过贷款解决，大约为5,040万元。如果业主希望减轻一次性投资压力，后续也可以再考虑融资租赁等方式。</w:t>
      </w:r>
    </w:p>
    <w:p w14:paraId="17BE7A6C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财务分析、国民经济分析和社会分析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测算假设：</w:t>
      </w:r>
      <w:r>
        <w:rPr>
          <w:rFonts w:ascii="Microsoft YaHei" w:hAnsi="Microsoft YaHei" w:eastAsia="微软雅黑" w:cs="Microsoft YaHei"/>
          <w:sz w:val="24"/>
        </w:rPr>
        <w:t>财务测算中，本文假设首年发电量为2,050万kWh，自发自用比例为82%，自用电价为0.70元/kWh，余电上网电价为0.38元/kWh，年衰减率按0.5%考虑，初始年运维成本按230万元估算。这些参数主要用于课程分析，后续如果进入实际项目阶段，还需要结合合同电价和融资条件进一步修正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表3  主要经济与综合效益指标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649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指标</w:t>
            </w:r>
          </w:p>
        </w:tc>
        <w:tc>
          <w:tcPr>
            <w:tcW w:type="dxa" w:w="4706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测算值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首年营业收入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约1,317万元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年均运维成本（初始年）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约230万元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静态投资回收期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约6.8年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税前财务内部收益率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约13.5%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按8%折现的净现值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约3,382万元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年减排二氧化碳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约1.17万吨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综合评价：</w:t>
      </w:r>
      <w:r>
        <w:rPr>
          <w:rFonts w:ascii="Microsoft YaHei" w:hAnsi="Microsoft YaHei" w:eastAsia="微软雅黑" w:cs="Microsoft YaHei"/>
          <w:sz w:val="24"/>
        </w:rPr>
        <w:t>从财务结果看，项目具有较稳定的收益来源，投资回收期也处在可以接受的范围内；从社会和环境效益看，它能够减少碳排放、改善园区用能结构，也有利于提升企业绿色发展形象。综合以上分析，本文认为该项目总体上是可行的，可以作为后续进一步深化研究和实际论证的基础。</w:t>
      </w:r>
    </w:p>
    <w:p w14:paraId="564D6AB2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参考文献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[1] 国家能源局. 2024年上半年光伏发电建设情况[EB/OL]. 2024-07-25.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[2] 中国政府网. 《分布式光伏发电开发建设管理办法》政策解读[EB/OL]. 2025-01-23.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[3] 中国气象局. 2024年中国风能太阳能资源年景公报[EB/OL]. 2025-01-24.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[4] 江苏省人民政府. 2024年江苏全社会用电量首超8000亿千瓦时 同比增长8.4%[EB/OL]. 2025-01-22.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[5] 江苏省人民政府. 江苏新能源装机突破1亿千瓦 成为长三角首个“破亿”省份[EB/OL]. 2025-06-02.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[6] 江苏省人民政府. 苏州聚力抢占新能源领域发展制高点 力争到2026年产业产值突破1万亿元[EB/OL]. 2024-10-15.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B65E1"/>
    <w:multiLevelType w:val="multilevel"/>
    <w:tmpl w:val="357B65E1"/>
    <w:lvl w:ilvl="0" w:tentative="0">
      <w:start w:val="1"/>
      <w:numFmt w:val="decimal"/>
      <w:lvlText w:val="%1."/>
      <w:lvlJc w:val="left"/>
      <w:pPr>
        <w:ind w:left="14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20"/>
      </w:pPr>
    </w:lvl>
    <w:lvl w:ilvl="2" w:tentative="0">
      <w:start w:val="1"/>
      <w:numFmt w:val="lowerRoman"/>
      <w:lvlText w:val="%3."/>
      <w:lvlJc w:val="right"/>
      <w:pPr>
        <w:ind w:left="1940" w:hanging="420"/>
      </w:pPr>
    </w:lvl>
    <w:lvl w:ilvl="3" w:tentative="0">
      <w:start w:val="1"/>
      <w:numFmt w:val="decimal"/>
      <w:lvlText w:val="%4."/>
      <w:lvlJc w:val="left"/>
      <w:pPr>
        <w:ind w:left="2360" w:hanging="420"/>
      </w:pPr>
    </w:lvl>
    <w:lvl w:ilvl="4" w:tentative="0">
      <w:start w:val="1"/>
      <w:numFmt w:val="lowerLetter"/>
      <w:lvlText w:val="%5)"/>
      <w:lvlJc w:val="left"/>
      <w:pPr>
        <w:ind w:left="2780" w:hanging="420"/>
      </w:pPr>
    </w:lvl>
    <w:lvl w:ilvl="5" w:tentative="0">
      <w:start w:val="1"/>
      <w:numFmt w:val="lowerRoman"/>
      <w:lvlText w:val="%6."/>
      <w:lvlJc w:val="right"/>
      <w:pPr>
        <w:ind w:left="3200" w:hanging="420"/>
      </w:pPr>
    </w:lvl>
    <w:lvl w:ilvl="6" w:tentative="0">
      <w:start w:val="1"/>
      <w:numFmt w:val="decimal"/>
      <w:lvlText w:val="%7."/>
      <w:lvlJc w:val="left"/>
      <w:pPr>
        <w:ind w:left="3620" w:hanging="420"/>
      </w:pPr>
    </w:lvl>
    <w:lvl w:ilvl="7" w:tentative="0">
      <w:start w:val="1"/>
      <w:numFmt w:val="lowerLetter"/>
      <w:lvlText w:val="%8)"/>
      <w:lvlJc w:val="left"/>
      <w:pPr>
        <w:ind w:left="4040" w:hanging="420"/>
      </w:pPr>
    </w:lvl>
    <w:lvl w:ilvl="8" w:tentative="0">
      <w:start w:val="1"/>
      <w:numFmt w:val="lowerRoman"/>
      <w:lvlText w:val="%9."/>
      <w:lvlJc w:val="right"/>
      <w:pPr>
        <w:ind w:left="44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C2"/>
    <w:rsid w:val="0002411C"/>
    <w:rsid w:val="000575D7"/>
    <w:rsid w:val="0007467B"/>
    <w:rsid w:val="000F797F"/>
    <w:rsid w:val="000F79DB"/>
    <w:rsid w:val="001453A2"/>
    <w:rsid w:val="001473D0"/>
    <w:rsid w:val="00187C1C"/>
    <w:rsid w:val="001A72F1"/>
    <w:rsid w:val="001C0FB0"/>
    <w:rsid w:val="001E4049"/>
    <w:rsid w:val="0026324A"/>
    <w:rsid w:val="00294562"/>
    <w:rsid w:val="002B1073"/>
    <w:rsid w:val="002F7769"/>
    <w:rsid w:val="00347F34"/>
    <w:rsid w:val="00385209"/>
    <w:rsid w:val="003D1DAC"/>
    <w:rsid w:val="00403B97"/>
    <w:rsid w:val="004107C2"/>
    <w:rsid w:val="00413F7F"/>
    <w:rsid w:val="0045280A"/>
    <w:rsid w:val="00452FEE"/>
    <w:rsid w:val="004A0414"/>
    <w:rsid w:val="004A6BF2"/>
    <w:rsid w:val="004E7C21"/>
    <w:rsid w:val="005779CF"/>
    <w:rsid w:val="005F4F18"/>
    <w:rsid w:val="00645DD5"/>
    <w:rsid w:val="006D7BED"/>
    <w:rsid w:val="007336E9"/>
    <w:rsid w:val="00754C95"/>
    <w:rsid w:val="007A76E2"/>
    <w:rsid w:val="0080094E"/>
    <w:rsid w:val="00810824"/>
    <w:rsid w:val="00843F16"/>
    <w:rsid w:val="008A6A44"/>
    <w:rsid w:val="008B3C8A"/>
    <w:rsid w:val="008B5C85"/>
    <w:rsid w:val="008C3F44"/>
    <w:rsid w:val="0090130E"/>
    <w:rsid w:val="009330E7"/>
    <w:rsid w:val="00977A2A"/>
    <w:rsid w:val="00981B7D"/>
    <w:rsid w:val="00985132"/>
    <w:rsid w:val="009F25E5"/>
    <w:rsid w:val="00A44283"/>
    <w:rsid w:val="00A7778E"/>
    <w:rsid w:val="00A97376"/>
    <w:rsid w:val="00B46184"/>
    <w:rsid w:val="00BA6559"/>
    <w:rsid w:val="00BE5B32"/>
    <w:rsid w:val="00BE72AD"/>
    <w:rsid w:val="00C55A20"/>
    <w:rsid w:val="00C61770"/>
    <w:rsid w:val="00C77375"/>
    <w:rsid w:val="00CC73E8"/>
    <w:rsid w:val="00DA56C5"/>
    <w:rsid w:val="00DB5653"/>
    <w:rsid w:val="00DE09C8"/>
    <w:rsid w:val="00DF1FFC"/>
    <w:rsid w:val="00E378C8"/>
    <w:rsid w:val="00EB4A63"/>
    <w:rsid w:val="00EF4890"/>
    <w:rsid w:val="00F33F96"/>
    <w:rsid w:val="00F3630D"/>
    <w:rsid w:val="00F93D17"/>
    <w:rsid w:val="00FB64CC"/>
    <w:rsid w:val="00FC0B99"/>
    <w:rsid w:val="00FD13BA"/>
    <w:rsid w:val="442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Microsoft YaHei" w:hAnsi="Microsoft YaHei" w:eastAsia="微软雅黑" w:cs="Microsoft YaHei"/>
      <w:b w:val="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rFonts w:ascii="Microsoft YaHei" w:hAnsi="Microsoft YaHei" w:eastAsia="微软雅黑" w:cs="Microsoft YaHe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HTML 预设格式 字符"/>
    <w:basedOn w:val="7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oken"/>
    <w:basedOn w:val="7"/>
    <w:uiPriority w:val="0"/>
  </w:style>
  <w:style w:type="character" w:customStyle="1" w:styleId="11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4"/>
    <w:qFormat/>
    <w:uiPriority w:val="9"/>
    <w:rPr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331</Words>
  <Characters>364</Characters>
  <Lines>4</Lines>
  <Paragraphs>1</Paragraphs>
  <TotalTime>69</TotalTime>
  <ScaleCrop>false</ScaleCrop>
  <LinksUpToDate>false</LinksUpToDate>
  <CharactersWithSpaces>391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2025-04-14T07:51:00Z</dcterms:created>
  <dc:creator>yupengzjhw</dc:creator>
  <cp:lastModifiedBy>周沫</cp:lastModifiedBy>
  <dcterms:modified xsi:type="dcterms:W3CDTF">2025-04-14T13:28:53Z</dcterms:modified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eyJoZGlkIjoiNmM4ZGJlODA3Y2QzM2Q3NjdiOWQyODZkZDgzMGJlMzgiLCJ1c2VySWQiOiIzNzcxMTUzMjQifQ==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02884A458CB7408ABB115CA9CDC05E05_13</vt:lpwstr>
  </property>
</Properties>
</file>