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0A7D" w14:textId="77777777" w:rsidR="00651EF7" w:rsidRPr="00651EF7" w:rsidRDefault="00651EF7" w:rsidP="00651EF7">
      <w:pPr>
        <w:rPr>
          <w:rFonts w:ascii="Arial" w:hAnsi="Arial" w:cs="Arial"/>
          <w:b/>
          <w:bCs/>
        </w:rPr>
      </w:pPr>
      <w:r w:rsidRPr="00651EF7">
        <w:rPr>
          <w:rFonts w:ascii="Arial" w:hAnsi="Arial" w:cs="Arial"/>
          <w:b/>
          <w:bCs/>
        </w:rPr>
        <w:t>Product Analysis Report for Fintech Investment App</w:t>
      </w:r>
    </w:p>
    <w:p w14:paraId="4B2919CD" w14:textId="77777777" w:rsidR="00651EF7" w:rsidRPr="00651EF7" w:rsidRDefault="00651EF7" w:rsidP="00651EF7">
      <w:pPr>
        <w:rPr>
          <w:rFonts w:ascii="Arial" w:hAnsi="Arial" w:cs="Arial"/>
          <w:b/>
          <w:bCs/>
        </w:rPr>
      </w:pPr>
      <w:r w:rsidRPr="00651EF7">
        <w:rPr>
          <w:rFonts w:ascii="Arial" w:hAnsi="Arial" w:cs="Arial"/>
          <w:b/>
          <w:bCs/>
        </w:rPr>
        <w:t>Overview</w:t>
      </w:r>
    </w:p>
    <w:p w14:paraId="02CFB6C0" w14:textId="77777777" w:rsidR="00651EF7" w:rsidRPr="00651EF7" w:rsidRDefault="00651EF7" w:rsidP="00651EF7">
      <w:pPr>
        <w:rPr>
          <w:rFonts w:ascii="Arial" w:hAnsi="Arial" w:cs="Arial"/>
        </w:rPr>
      </w:pPr>
      <w:r w:rsidRPr="00651EF7">
        <w:rPr>
          <w:rFonts w:ascii="Arial" w:hAnsi="Arial" w:cs="Arial"/>
        </w:rPr>
        <w:t xml:space="preserve">This report </w:t>
      </w:r>
      <w:proofErr w:type="spellStart"/>
      <w:r w:rsidRPr="00651EF7">
        <w:rPr>
          <w:rFonts w:ascii="Arial" w:hAnsi="Arial" w:cs="Arial"/>
        </w:rPr>
        <w:t>summarises</w:t>
      </w:r>
      <w:proofErr w:type="spellEnd"/>
      <w:r w:rsidRPr="00651EF7">
        <w:rPr>
          <w:rFonts w:ascii="Arial" w:hAnsi="Arial" w:cs="Arial"/>
        </w:rPr>
        <w:t xml:space="preserve"> user </w:t>
      </w:r>
      <w:proofErr w:type="spellStart"/>
      <w:r w:rsidRPr="00651EF7">
        <w:rPr>
          <w:rFonts w:ascii="Arial" w:hAnsi="Arial" w:cs="Arial"/>
        </w:rPr>
        <w:t>behaviour</w:t>
      </w:r>
      <w:proofErr w:type="spellEnd"/>
      <w:r w:rsidRPr="00651EF7">
        <w:rPr>
          <w:rFonts w:ascii="Arial" w:hAnsi="Arial" w:cs="Arial"/>
        </w:rPr>
        <w:t xml:space="preserve"> and product performance for a mobile</w:t>
      </w:r>
      <w:r w:rsidRPr="00651EF7">
        <w:rPr>
          <w:rFonts w:ascii="Arial" w:hAnsi="Arial" w:cs="Arial"/>
        </w:rPr>
        <w:noBreakHyphen/>
        <w:t>first investment app based on a simulated event dataset and accompanying Power BI dashboard (</w:t>
      </w:r>
      <w:proofErr w:type="spellStart"/>
      <w:r w:rsidRPr="00651EF7">
        <w:rPr>
          <w:rFonts w:ascii="Arial" w:hAnsi="Arial" w:cs="Arial"/>
        </w:rPr>
        <w:t>Dashboard_AZ.pbix</w:t>
      </w:r>
      <w:proofErr w:type="spellEnd"/>
      <w:r w:rsidRPr="00651EF7">
        <w:rPr>
          <w:rFonts w:ascii="Arial" w:hAnsi="Arial" w:cs="Arial"/>
        </w:rPr>
        <w:t>). Users sign up, link their bank, fund the account and make an investment. Revenue is driven by active investors, so understanding the funnel, cohort quality and experiment impact is critical.</w:t>
      </w:r>
    </w:p>
    <w:p w14:paraId="75A29F17" w14:textId="77777777" w:rsidR="00651EF7" w:rsidRPr="00651EF7" w:rsidRDefault="00651EF7" w:rsidP="00651EF7">
      <w:pPr>
        <w:rPr>
          <w:rFonts w:ascii="Arial" w:hAnsi="Arial" w:cs="Arial"/>
          <w:b/>
          <w:bCs/>
        </w:rPr>
      </w:pPr>
      <w:r w:rsidRPr="00651EF7">
        <w:rPr>
          <w:rFonts w:ascii="Arial" w:hAnsi="Arial" w:cs="Arial"/>
          <w:b/>
          <w:bCs/>
        </w:rPr>
        <w:t>Funnel Performance</w:t>
      </w:r>
    </w:p>
    <w:p w14:paraId="7ABE3029" w14:textId="77777777" w:rsidR="00651EF7" w:rsidRPr="00651EF7" w:rsidRDefault="00651EF7" w:rsidP="00651EF7">
      <w:pPr>
        <w:numPr>
          <w:ilvl w:val="0"/>
          <w:numId w:val="1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Strong sign</w:t>
      </w:r>
      <w:r w:rsidRPr="00651EF7">
        <w:rPr>
          <w:rFonts w:ascii="Arial" w:hAnsi="Arial" w:cs="Arial"/>
          <w:b/>
          <w:bCs/>
        </w:rPr>
        <w:noBreakHyphen/>
        <w:t>up conversion:</w:t>
      </w:r>
      <w:r w:rsidRPr="00651EF7">
        <w:rPr>
          <w:rFonts w:ascii="Arial" w:hAnsi="Arial" w:cs="Arial"/>
        </w:rPr>
        <w:t xml:space="preserve"> All 10 000 registered users opened the app. Over 93 % completed sign</w:t>
      </w:r>
      <w:r w:rsidRPr="00651EF7">
        <w:rPr>
          <w:rFonts w:ascii="Arial" w:hAnsi="Arial" w:cs="Arial"/>
        </w:rPr>
        <w:noBreakHyphen/>
        <w:t>up and 64 % linked their bank. These high completion rates suggest low friction in the early onboarding experience.</w:t>
      </w:r>
    </w:p>
    <w:p w14:paraId="6D4AA0EF" w14:textId="77777777" w:rsidR="00651EF7" w:rsidRPr="00651EF7" w:rsidRDefault="00651EF7" w:rsidP="00651EF7">
      <w:pPr>
        <w:numPr>
          <w:ilvl w:val="0"/>
          <w:numId w:val="1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Funding bottleneck:</w:t>
      </w:r>
      <w:r w:rsidRPr="00651EF7">
        <w:rPr>
          <w:rFonts w:ascii="Arial" w:hAnsi="Arial" w:cs="Arial"/>
        </w:rPr>
        <w:t xml:space="preserve"> Only 3 204 users funded their account, corresponding to a conversion of </w:t>
      </w:r>
      <w:r w:rsidRPr="00651EF7">
        <w:rPr>
          <w:rFonts w:ascii="Arial" w:hAnsi="Arial" w:cs="Arial"/>
          <w:b/>
          <w:bCs/>
        </w:rPr>
        <w:t>32 %</w:t>
      </w:r>
      <w:r w:rsidRPr="00651EF7">
        <w:rPr>
          <w:rFonts w:ascii="Arial" w:hAnsi="Arial" w:cs="Arial"/>
        </w:rPr>
        <w:t xml:space="preserve"> from app open to funded. This step showed the steepest drop</w:t>
      </w:r>
      <w:r w:rsidRPr="00651EF7">
        <w:rPr>
          <w:rFonts w:ascii="Arial" w:hAnsi="Arial" w:cs="Arial"/>
        </w:rPr>
        <w:noBreakHyphen/>
        <w:t>off—roughly half of bank</w:t>
      </w:r>
      <w:r w:rsidRPr="00651EF7">
        <w:rPr>
          <w:rFonts w:ascii="Arial" w:hAnsi="Arial" w:cs="Arial"/>
        </w:rPr>
        <w:noBreakHyphen/>
        <w:t>linked users never funded—indicating significant friction or hesitancy at the point of depositing money.</w:t>
      </w:r>
    </w:p>
    <w:p w14:paraId="630CDD65" w14:textId="77777777" w:rsidR="00651EF7" w:rsidRPr="00651EF7" w:rsidRDefault="00651EF7" w:rsidP="00651EF7">
      <w:pPr>
        <w:numPr>
          <w:ilvl w:val="0"/>
          <w:numId w:val="1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Investment activation:</w:t>
      </w:r>
      <w:r w:rsidRPr="00651EF7">
        <w:rPr>
          <w:rFonts w:ascii="Arial" w:hAnsi="Arial" w:cs="Arial"/>
        </w:rPr>
        <w:t xml:space="preserve"> Of those who funded an account, around </w:t>
      </w:r>
      <w:r w:rsidRPr="00651EF7">
        <w:rPr>
          <w:rFonts w:ascii="Arial" w:hAnsi="Arial" w:cs="Arial"/>
          <w:b/>
          <w:bCs/>
        </w:rPr>
        <w:t>80 %</w:t>
      </w:r>
      <w:r w:rsidRPr="00651EF7">
        <w:rPr>
          <w:rFonts w:ascii="Arial" w:hAnsi="Arial" w:cs="Arial"/>
        </w:rPr>
        <w:t xml:space="preserve"> made a first investment, resulting in 2 553 investing users. While the activation rate is healthy, the absolute number of investors remains small relative to </w:t>
      </w:r>
      <w:proofErr w:type="gramStart"/>
      <w:r w:rsidRPr="00651EF7">
        <w:rPr>
          <w:rFonts w:ascii="Arial" w:hAnsi="Arial" w:cs="Arial"/>
        </w:rPr>
        <w:t>sign</w:t>
      </w:r>
      <w:r w:rsidRPr="00651EF7">
        <w:rPr>
          <w:rFonts w:ascii="Arial" w:hAnsi="Arial" w:cs="Arial"/>
        </w:rPr>
        <w:noBreakHyphen/>
        <w:t>ups</w:t>
      </w:r>
      <w:proofErr w:type="gramEnd"/>
      <w:r w:rsidRPr="00651EF7">
        <w:rPr>
          <w:rFonts w:ascii="Arial" w:hAnsi="Arial" w:cs="Arial"/>
        </w:rPr>
        <w:t>.</w:t>
      </w:r>
    </w:p>
    <w:p w14:paraId="7F964D2B" w14:textId="77777777" w:rsidR="00651EF7" w:rsidRPr="00651EF7" w:rsidRDefault="00651EF7" w:rsidP="00651EF7">
      <w:pPr>
        <w:numPr>
          <w:ilvl w:val="0"/>
          <w:numId w:val="1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Channel &amp; platform insights:</w:t>
      </w:r>
      <w:r w:rsidRPr="00651EF7">
        <w:rPr>
          <w:rFonts w:ascii="Arial" w:hAnsi="Arial" w:cs="Arial"/>
        </w:rPr>
        <w:t xml:space="preserve"> Conversions were consistent across acquisition channels (~31–34 %). A slight edge appeared for organic and social channels. Platform differences were less meaningful; however, a small number of web users showed lower conversion, likely due to sample size.</w:t>
      </w:r>
    </w:p>
    <w:p w14:paraId="441B76E3" w14:textId="77777777" w:rsidR="00651EF7" w:rsidRPr="00651EF7" w:rsidRDefault="00651EF7" w:rsidP="00651EF7">
      <w:pPr>
        <w:rPr>
          <w:rFonts w:ascii="Arial" w:hAnsi="Arial" w:cs="Arial"/>
          <w:b/>
          <w:bCs/>
        </w:rPr>
      </w:pPr>
      <w:r w:rsidRPr="00651EF7">
        <w:rPr>
          <w:rFonts w:ascii="Arial" w:hAnsi="Arial" w:cs="Arial"/>
          <w:b/>
          <w:bCs/>
        </w:rPr>
        <w:t>Retention &amp; Cohort Analysis</w:t>
      </w:r>
    </w:p>
    <w:p w14:paraId="6CACBD80" w14:textId="77777777" w:rsidR="00651EF7" w:rsidRPr="00651EF7" w:rsidRDefault="00651EF7" w:rsidP="00651EF7">
      <w:pPr>
        <w:numPr>
          <w:ilvl w:val="0"/>
          <w:numId w:val="2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Rapid early engagement:</w:t>
      </w:r>
      <w:r w:rsidRPr="00651EF7">
        <w:rPr>
          <w:rFonts w:ascii="Arial" w:hAnsi="Arial" w:cs="Arial"/>
        </w:rPr>
        <w:t xml:space="preserve"> Cohort retention averaged </w:t>
      </w:r>
      <w:r w:rsidRPr="00651EF7">
        <w:rPr>
          <w:rFonts w:ascii="Arial" w:hAnsi="Arial" w:cs="Arial"/>
          <w:b/>
          <w:bCs/>
        </w:rPr>
        <w:t>83 %</w:t>
      </w:r>
      <w:r w:rsidRPr="00651EF7">
        <w:rPr>
          <w:rFonts w:ascii="Arial" w:hAnsi="Arial" w:cs="Arial"/>
        </w:rPr>
        <w:t xml:space="preserve"> in Week 1, reflecting habitual engagement immediately after </w:t>
      </w:r>
      <w:proofErr w:type="gramStart"/>
      <w:r w:rsidRPr="00651EF7">
        <w:rPr>
          <w:rFonts w:ascii="Arial" w:hAnsi="Arial" w:cs="Arial"/>
        </w:rPr>
        <w:t>sign</w:t>
      </w:r>
      <w:r w:rsidRPr="00651EF7">
        <w:rPr>
          <w:rFonts w:ascii="Arial" w:hAnsi="Arial" w:cs="Arial"/>
        </w:rPr>
        <w:noBreakHyphen/>
      </w:r>
      <w:proofErr w:type="gramEnd"/>
      <w:r w:rsidRPr="00651EF7">
        <w:rPr>
          <w:rFonts w:ascii="Arial" w:hAnsi="Arial" w:cs="Arial"/>
        </w:rPr>
        <w:t>up. Users with an investment made within seven days exhibited marginally higher Week</w:t>
      </w:r>
      <w:r w:rsidRPr="00651EF7">
        <w:rPr>
          <w:rFonts w:ascii="Arial" w:hAnsi="Arial" w:cs="Arial"/>
        </w:rPr>
        <w:noBreakHyphen/>
        <w:t>1 retention (~88 %) than non</w:t>
      </w:r>
      <w:r w:rsidRPr="00651EF7">
        <w:rPr>
          <w:rFonts w:ascii="Arial" w:hAnsi="Arial" w:cs="Arial"/>
        </w:rPr>
        <w:noBreakHyphen/>
        <w:t>investors (~83 %).</w:t>
      </w:r>
    </w:p>
    <w:p w14:paraId="39EECBF0" w14:textId="77777777" w:rsidR="00651EF7" w:rsidRPr="00651EF7" w:rsidRDefault="00651EF7" w:rsidP="00651EF7">
      <w:pPr>
        <w:numPr>
          <w:ilvl w:val="0"/>
          <w:numId w:val="2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Sharp decline over time:</w:t>
      </w:r>
      <w:r w:rsidRPr="00651EF7">
        <w:rPr>
          <w:rFonts w:ascii="Arial" w:hAnsi="Arial" w:cs="Arial"/>
        </w:rPr>
        <w:t xml:space="preserve"> Retention dropped to </w:t>
      </w:r>
      <w:r w:rsidRPr="00651EF7">
        <w:rPr>
          <w:rFonts w:ascii="Arial" w:hAnsi="Arial" w:cs="Arial"/>
          <w:b/>
          <w:bCs/>
        </w:rPr>
        <w:t>42 %</w:t>
      </w:r>
      <w:r w:rsidRPr="00651EF7">
        <w:rPr>
          <w:rFonts w:ascii="Arial" w:hAnsi="Arial" w:cs="Arial"/>
        </w:rPr>
        <w:t xml:space="preserve"> by Week 4 and </w:t>
      </w:r>
      <w:r w:rsidRPr="00651EF7">
        <w:rPr>
          <w:rFonts w:ascii="Arial" w:hAnsi="Arial" w:cs="Arial"/>
          <w:b/>
          <w:bCs/>
        </w:rPr>
        <w:t>17 %</w:t>
      </w:r>
      <w:r w:rsidRPr="00651EF7">
        <w:rPr>
          <w:rFonts w:ascii="Arial" w:hAnsi="Arial" w:cs="Arial"/>
        </w:rPr>
        <w:t xml:space="preserve"> by Week 8, indicating many users disengage after the first month. Early investors did not retain materially better at 30 days than non</w:t>
      </w:r>
      <w:r w:rsidRPr="00651EF7">
        <w:rPr>
          <w:rFonts w:ascii="Arial" w:hAnsi="Arial" w:cs="Arial"/>
        </w:rPr>
        <w:noBreakHyphen/>
        <w:t>investors (38 % vs 40 % 30</w:t>
      </w:r>
      <w:r w:rsidRPr="00651EF7">
        <w:rPr>
          <w:rFonts w:ascii="Arial" w:hAnsi="Arial" w:cs="Arial"/>
        </w:rPr>
        <w:noBreakHyphen/>
        <w:t>day retention), suggesting that simply making a first investment does not guarantee long</w:t>
      </w:r>
      <w:r w:rsidRPr="00651EF7">
        <w:rPr>
          <w:rFonts w:ascii="Arial" w:hAnsi="Arial" w:cs="Arial"/>
        </w:rPr>
        <w:noBreakHyphen/>
        <w:t>term usage.</w:t>
      </w:r>
    </w:p>
    <w:p w14:paraId="19129A85" w14:textId="77777777" w:rsidR="00651EF7" w:rsidRPr="00651EF7" w:rsidRDefault="00651EF7" w:rsidP="00651EF7">
      <w:pPr>
        <w:numPr>
          <w:ilvl w:val="0"/>
          <w:numId w:val="2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Channel quality:</w:t>
      </w:r>
      <w:r w:rsidRPr="00651EF7">
        <w:rPr>
          <w:rFonts w:ascii="Arial" w:hAnsi="Arial" w:cs="Arial"/>
        </w:rPr>
        <w:t xml:space="preserve"> Organic and referral cohorts retained slightly better by Week 8 than paid and social cohorts, hinting that these channels bring higher</w:t>
      </w:r>
      <w:r w:rsidRPr="00651EF7">
        <w:rPr>
          <w:rFonts w:ascii="Arial" w:hAnsi="Arial" w:cs="Arial"/>
        </w:rPr>
        <w:noBreakHyphen/>
        <w:t>quality users. No significant differences were observed across countries or platforms.</w:t>
      </w:r>
    </w:p>
    <w:p w14:paraId="79BE9C1B" w14:textId="77777777" w:rsidR="00651EF7" w:rsidRPr="00651EF7" w:rsidRDefault="00651EF7" w:rsidP="00651EF7">
      <w:pPr>
        <w:rPr>
          <w:rFonts w:ascii="Arial" w:hAnsi="Arial" w:cs="Arial"/>
          <w:b/>
          <w:bCs/>
        </w:rPr>
      </w:pPr>
      <w:r w:rsidRPr="00651EF7">
        <w:rPr>
          <w:rFonts w:ascii="Arial" w:hAnsi="Arial" w:cs="Arial"/>
          <w:b/>
          <w:bCs/>
        </w:rPr>
        <w:lastRenderedPageBreak/>
        <w:t>Experiment Evaluation</w:t>
      </w:r>
    </w:p>
    <w:p w14:paraId="2077B611" w14:textId="77777777" w:rsidR="00651EF7" w:rsidRPr="00651EF7" w:rsidRDefault="00651EF7" w:rsidP="00651EF7">
      <w:pPr>
        <w:rPr>
          <w:rFonts w:ascii="Arial" w:hAnsi="Arial" w:cs="Arial"/>
        </w:rPr>
      </w:pPr>
      <w:r w:rsidRPr="00651EF7">
        <w:rPr>
          <w:rFonts w:ascii="Arial" w:hAnsi="Arial" w:cs="Arial"/>
        </w:rPr>
        <w:t>A/B testing compared the existing onboarding flow (control) with a redesigned flow encouraging earlier bank linking. Results from the dashboard and SQL queries show:</w:t>
      </w:r>
    </w:p>
    <w:p w14:paraId="2B906033" w14:textId="77777777" w:rsidR="00651EF7" w:rsidRPr="00651EF7" w:rsidRDefault="00651EF7" w:rsidP="00651EF7">
      <w:pPr>
        <w:numPr>
          <w:ilvl w:val="0"/>
          <w:numId w:val="3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Increased funding conversion:</w:t>
      </w:r>
      <w:r w:rsidRPr="00651EF7">
        <w:rPr>
          <w:rFonts w:ascii="Arial" w:hAnsi="Arial" w:cs="Arial"/>
        </w:rPr>
        <w:t xml:space="preserve"> Treatment users had a funded account rate of </w:t>
      </w:r>
      <w:r w:rsidRPr="00651EF7">
        <w:rPr>
          <w:rFonts w:ascii="Arial" w:hAnsi="Arial" w:cs="Arial"/>
          <w:b/>
          <w:bCs/>
        </w:rPr>
        <w:t>35.2 %</w:t>
      </w:r>
      <w:r w:rsidRPr="00651EF7">
        <w:rPr>
          <w:rFonts w:ascii="Arial" w:hAnsi="Arial" w:cs="Arial"/>
        </w:rPr>
        <w:t xml:space="preserve">, compared with </w:t>
      </w:r>
      <w:r w:rsidRPr="00651EF7">
        <w:rPr>
          <w:rFonts w:ascii="Arial" w:hAnsi="Arial" w:cs="Arial"/>
          <w:b/>
          <w:bCs/>
        </w:rPr>
        <w:t>28.9 %</w:t>
      </w:r>
      <w:r w:rsidRPr="00651EF7">
        <w:rPr>
          <w:rFonts w:ascii="Arial" w:hAnsi="Arial" w:cs="Arial"/>
        </w:rPr>
        <w:t xml:space="preserve"> for control, yielding a 6.3</w:t>
      </w:r>
      <w:r w:rsidRPr="00651EF7">
        <w:rPr>
          <w:rFonts w:ascii="Arial" w:hAnsi="Arial" w:cs="Arial"/>
        </w:rPr>
        <w:noBreakHyphen/>
        <w:t xml:space="preserve">point uplift. </w:t>
      </w:r>
      <w:proofErr w:type="gramStart"/>
      <w:r w:rsidRPr="00651EF7">
        <w:rPr>
          <w:rFonts w:ascii="Arial" w:hAnsi="Arial" w:cs="Arial"/>
        </w:rPr>
        <w:t>A z</w:t>
      </w:r>
      <w:r w:rsidRPr="00651EF7">
        <w:rPr>
          <w:rFonts w:ascii="Arial" w:hAnsi="Arial" w:cs="Arial"/>
        </w:rPr>
        <w:noBreakHyphen/>
      </w:r>
      <w:proofErr w:type="gramEnd"/>
      <w:r w:rsidRPr="00651EF7">
        <w:rPr>
          <w:rFonts w:ascii="Arial" w:hAnsi="Arial" w:cs="Arial"/>
        </w:rPr>
        <w:t>test confirmed statistical significance (p &lt; 0.001). This increase in funded users directly addresses the main funnel bottleneck.</w:t>
      </w:r>
    </w:p>
    <w:p w14:paraId="5CC75CF1" w14:textId="77777777" w:rsidR="00651EF7" w:rsidRPr="00651EF7" w:rsidRDefault="00651EF7" w:rsidP="00651EF7">
      <w:pPr>
        <w:numPr>
          <w:ilvl w:val="0"/>
          <w:numId w:val="3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Unchanged time to invest:</w:t>
      </w:r>
      <w:r w:rsidRPr="00651EF7">
        <w:rPr>
          <w:rFonts w:ascii="Arial" w:hAnsi="Arial" w:cs="Arial"/>
        </w:rPr>
        <w:t xml:space="preserve"> The median time from sign</w:t>
      </w:r>
      <w:r w:rsidRPr="00651EF7">
        <w:rPr>
          <w:rFonts w:ascii="Arial" w:hAnsi="Arial" w:cs="Arial"/>
        </w:rPr>
        <w:noBreakHyphen/>
        <w:t xml:space="preserve">up to first investment remained about nine days for both variants, suggesting the redesign impacts funding </w:t>
      </w:r>
      <w:proofErr w:type="spellStart"/>
      <w:r w:rsidRPr="00651EF7">
        <w:rPr>
          <w:rFonts w:ascii="Arial" w:hAnsi="Arial" w:cs="Arial"/>
        </w:rPr>
        <w:t>behaviour</w:t>
      </w:r>
      <w:proofErr w:type="spellEnd"/>
      <w:r w:rsidRPr="00651EF7">
        <w:rPr>
          <w:rFonts w:ascii="Arial" w:hAnsi="Arial" w:cs="Arial"/>
        </w:rPr>
        <w:t xml:space="preserve"> without delaying or accelerating investment.</w:t>
      </w:r>
    </w:p>
    <w:p w14:paraId="67457047" w14:textId="77777777" w:rsidR="00651EF7" w:rsidRPr="00651EF7" w:rsidRDefault="00651EF7" w:rsidP="00651EF7">
      <w:pPr>
        <w:numPr>
          <w:ilvl w:val="0"/>
          <w:numId w:val="3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Neutral retention effects:</w:t>
      </w:r>
      <w:r w:rsidRPr="00651EF7">
        <w:rPr>
          <w:rFonts w:ascii="Arial" w:hAnsi="Arial" w:cs="Arial"/>
        </w:rPr>
        <w:t xml:space="preserve"> 7</w:t>
      </w:r>
      <w:r w:rsidRPr="00651EF7">
        <w:rPr>
          <w:rFonts w:ascii="Arial" w:hAnsi="Arial" w:cs="Arial"/>
        </w:rPr>
        <w:noBreakHyphen/>
        <w:t>day and 30</w:t>
      </w:r>
      <w:r w:rsidRPr="00651EF7">
        <w:rPr>
          <w:rFonts w:ascii="Arial" w:hAnsi="Arial" w:cs="Arial"/>
        </w:rPr>
        <w:noBreakHyphen/>
        <w:t>day retention rates were effectively identical across variants (about 83 % and 39 %), indicating no negative engagement trade</w:t>
      </w:r>
      <w:r w:rsidRPr="00651EF7">
        <w:rPr>
          <w:rFonts w:ascii="Arial" w:hAnsi="Arial" w:cs="Arial"/>
        </w:rPr>
        <w:noBreakHyphen/>
        <w:t>off from the new flow.</w:t>
      </w:r>
    </w:p>
    <w:p w14:paraId="6DF12EC1" w14:textId="77777777" w:rsidR="00651EF7" w:rsidRPr="00651EF7" w:rsidRDefault="00651EF7" w:rsidP="00651EF7">
      <w:pPr>
        <w:rPr>
          <w:rFonts w:ascii="Arial" w:hAnsi="Arial" w:cs="Arial"/>
          <w:b/>
          <w:bCs/>
        </w:rPr>
      </w:pPr>
      <w:r w:rsidRPr="00651EF7">
        <w:rPr>
          <w:rFonts w:ascii="Arial" w:hAnsi="Arial" w:cs="Arial"/>
          <w:b/>
          <w:bCs/>
        </w:rPr>
        <w:t>Key Takeaways</w:t>
      </w:r>
    </w:p>
    <w:p w14:paraId="589B8F95" w14:textId="77777777" w:rsidR="00651EF7" w:rsidRPr="00651EF7" w:rsidRDefault="00651EF7" w:rsidP="00651EF7">
      <w:pPr>
        <w:numPr>
          <w:ilvl w:val="0"/>
          <w:numId w:val="4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Focus on funding friction:</w:t>
      </w:r>
      <w:r w:rsidRPr="00651EF7">
        <w:rPr>
          <w:rFonts w:ascii="Arial" w:hAnsi="Arial" w:cs="Arial"/>
        </w:rPr>
        <w:t xml:space="preserve"> The biggest opportunity is reducing drop</w:t>
      </w:r>
      <w:r w:rsidRPr="00651EF7">
        <w:rPr>
          <w:rFonts w:ascii="Arial" w:hAnsi="Arial" w:cs="Arial"/>
        </w:rPr>
        <w:noBreakHyphen/>
        <w:t xml:space="preserve">off at the funding step. </w:t>
      </w:r>
      <w:proofErr w:type="spellStart"/>
      <w:r w:rsidRPr="00651EF7">
        <w:rPr>
          <w:rFonts w:ascii="Arial" w:hAnsi="Arial" w:cs="Arial"/>
        </w:rPr>
        <w:t>Optimising</w:t>
      </w:r>
      <w:proofErr w:type="spellEnd"/>
      <w:r w:rsidRPr="00651EF7">
        <w:rPr>
          <w:rFonts w:ascii="Arial" w:hAnsi="Arial" w:cs="Arial"/>
        </w:rPr>
        <w:t xml:space="preserve"> the deposit </w:t>
      </w:r>
      <w:proofErr w:type="gramStart"/>
      <w:r w:rsidRPr="00651EF7">
        <w:rPr>
          <w:rFonts w:ascii="Arial" w:hAnsi="Arial" w:cs="Arial"/>
        </w:rPr>
        <w:t>process—</w:t>
      </w:r>
      <w:proofErr w:type="gramEnd"/>
      <w:r w:rsidRPr="00651EF7">
        <w:rPr>
          <w:rFonts w:ascii="Arial" w:hAnsi="Arial" w:cs="Arial"/>
        </w:rPr>
        <w:t>simplifying bank verification, adding trust signals and offering incentives—could dramatically increase the active investor base.</w:t>
      </w:r>
    </w:p>
    <w:p w14:paraId="62E02F81" w14:textId="77777777" w:rsidR="00651EF7" w:rsidRPr="00651EF7" w:rsidRDefault="00651EF7" w:rsidP="00651EF7">
      <w:pPr>
        <w:numPr>
          <w:ilvl w:val="0"/>
          <w:numId w:val="4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Scale the new onboarding flow:</w:t>
      </w:r>
      <w:r w:rsidRPr="00651EF7">
        <w:rPr>
          <w:rFonts w:ascii="Arial" w:hAnsi="Arial" w:cs="Arial"/>
        </w:rPr>
        <w:t xml:space="preserve"> The experiment demonstrates a clear uplift in funded</w:t>
      </w:r>
      <w:r w:rsidRPr="00651EF7">
        <w:rPr>
          <w:rFonts w:ascii="Arial" w:hAnsi="Arial" w:cs="Arial"/>
        </w:rPr>
        <w:noBreakHyphen/>
        <w:t>account conversion with no downside on retention. Rolling out the redesigned flow broadly should be a priority.</w:t>
      </w:r>
    </w:p>
    <w:p w14:paraId="4D8B42AD" w14:textId="77777777" w:rsidR="00651EF7" w:rsidRPr="00651EF7" w:rsidRDefault="00651EF7" w:rsidP="00651EF7">
      <w:pPr>
        <w:numPr>
          <w:ilvl w:val="0"/>
          <w:numId w:val="4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Drive ongoing engagement:</w:t>
      </w:r>
      <w:r w:rsidRPr="00651EF7">
        <w:rPr>
          <w:rFonts w:ascii="Arial" w:hAnsi="Arial" w:cs="Arial"/>
        </w:rPr>
        <w:t xml:space="preserve"> Rapid early churn implies users see little reason to return after sign</w:t>
      </w:r>
      <w:r w:rsidRPr="00651EF7">
        <w:rPr>
          <w:rFonts w:ascii="Arial" w:hAnsi="Arial" w:cs="Arial"/>
        </w:rPr>
        <w:noBreakHyphen/>
        <w:t xml:space="preserve">up. Introducing </w:t>
      </w:r>
      <w:proofErr w:type="spellStart"/>
      <w:r w:rsidRPr="00651EF7">
        <w:rPr>
          <w:rFonts w:ascii="Arial" w:hAnsi="Arial" w:cs="Arial"/>
        </w:rPr>
        <w:t>personalised</w:t>
      </w:r>
      <w:proofErr w:type="spellEnd"/>
      <w:r w:rsidRPr="00651EF7">
        <w:rPr>
          <w:rFonts w:ascii="Arial" w:hAnsi="Arial" w:cs="Arial"/>
        </w:rPr>
        <w:t xml:space="preserve"> notifications, auto</w:t>
      </w:r>
      <w:r w:rsidRPr="00651EF7">
        <w:rPr>
          <w:rFonts w:ascii="Arial" w:hAnsi="Arial" w:cs="Arial"/>
        </w:rPr>
        <w:noBreakHyphen/>
        <w:t>invest features and goal</w:t>
      </w:r>
      <w:r w:rsidRPr="00651EF7">
        <w:rPr>
          <w:rFonts w:ascii="Arial" w:hAnsi="Arial" w:cs="Arial"/>
        </w:rPr>
        <w:noBreakHyphen/>
        <w:t>based portfolios could encourage repeated engagement and higher lifetime value.</w:t>
      </w:r>
    </w:p>
    <w:p w14:paraId="7289C661" w14:textId="77777777" w:rsidR="00651EF7" w:rsidRPr="00651EF7" w:rsidRDefault="00651EF7" w:rsidP="00651EF7">
      <w:pPr>
        <w:numPr>
          <w:ilvl w:val="0"/>
          <w:numId w:val="4"/>
        </w:numPr>
        <w:rPr>
          <w:rFonts w:ascii="Arial" w:hAnsi="Arial" w:cs="Arial"/>
        </w:rPr>
      </w:pPr>
      <w:r w:rsidRPr="00651EF7">
        <w:rPr>
          <w:rFonts w:ascii="Arial" w:hAnsi="Arial" w:cs="Arial"/>
          <w:b/>
          <w:bCs/>
        </w:rPr>
        <w:t>Refine acquisition channels:</w:t>
      </w:r>
      <w:r w:rsidRPr="00651EF7">
        <w:rPr>
          <w:rFonts w:ascii="Arial" w:hAnsi="Arial" w:cs="Arial"/>
        </w:rPr>
        <w:t xml:space="preserve"> Although differences are small, organic and referral channels show slightly better long</w:t>
      </w:r>
      <w:r w:rsidRPr="00651EF7">
        <w:rPr>
          <w:rFonts w:ascii="Arial" w:hAnsi="Arial" w:cs="Arial"/>
        </w:rPr>
        <w:noBreakHyphen/>
        <w:t>term retention. Marketing budgets should reflect these quality differences, with ongoing monitoring.</w:t>
      </w:r>
    </w:p>
    <w:p w14:paraId="2A8C67C8" w14:textId="77777777" w:rsidR="00651EF7" w:rsidRPr="00651EF7" w:rsidRDefault="00651EF7" w:rsidP="00651EF7">
      <w:pPr>
        <w:rPr>
          <w:rFonts w:ascii="Arial" w:hAnsi="Arial" w:cs="Arial"/>
        </w:rPr>
      </w:pPr>
      <w:r w:rsidRPr="00651EF7">
        <w:rPr>
          <w:rFonts w:ascii="Arial" w:hAnsi="Arial" w:cs="Arial"/>
        </w:rPr>
        <w:t>By addressing funding friction, scaling the successful experiment and investing in retention</w:t>
      </w:r>
      <w:r w:rsidRPr="00651EF7">
        <w:rPr>
          <w:rFonts w:ascii="Arial" w:hAnsi="Arial" w:cs="Arial"/>
        </w:rPr>
        <w:noBreakHyphen/>
        <w:t xml:space="preserve">driving features, the product team can convert more </w:t>
      </w:r>
      <w:proofErr w:type="gramStart"/>
      <w:r w:rsidRPr="00651EF7">
        <w:rPr>
          <w:rFonts w:ascii="Arial" w:hAnsi="Arial" w:cs="Arial"/>
        </w:rPr>
        <w:t>sign</w:t>
      </w:r>
      <w:r w:rsidRPr="00651EF7">
        <w:rPr>
          <w:rFonts w:ascii="Arial" w:hAnsi="Arial" w:cs="Arial"/>
        </w:rPr>
        <w:noBreakHyphen/>
        <w:t>ups</w:t>
      </w:r>
      <w:proofErr w:type="gramEnd"/>
      <w:r w:rsidRPr="00651EF7">
        <w:rPr>
          <w:rFonts w:ascii="Arial" w:hAnsi="Arial" w:cs="Arial"/>
        </w:rPr>
        <w:t xml:space="preserve"> into active, long</w:t>
      </w:r>
      <w:r w:rsidRPr="00651EF7">
        <w:rPr>
          <w:rFonts w:ascii="Arial" w:hAnsi="Arial" w:cs="Arial"/>
        </w:rPr>
        <w:noBreakHyphen/>
        <w:t>term investors, ultimately driving sustainable revenue growth.</w:t>
      </w:r>
    </w:p>
    <w:p w14:paraId="1C8EE046" w14:textId="09794E72" w:rsidR="00DF6E29" w:rsidRPr="00651EF7" w:rsidRDefault="00DF6E29" w:rsidP="00651EF7">
      <w:pPr>
        <w:rPr>
          <w:rFonts w:ascii="Arial" w:hAnsi="Arial" w:cs="Arial"/>
        </w:rPr>
      </w:pPr>
    </w:p>
    <w:sectPr w:rsidR="00DF6E29" w:rsidRPr="0065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0409"/>
    <w:multiLevelType w:val="multilevel"/>
    <w:tmpl w:val="12BE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E3734"/>
    <w:multiLevelType w:val="multilevel"/>
    <w:tmpl w:val="265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61FC8"/>
    <w:multiLevelType w:val="multilevel"/>
    <w:tmpl w:val="D0E8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A45F4"/>
    <w:multiLevelType w:val="multilevel"/>
    <w:tmpl w:val="AB20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623827">
    <w:abstractNumId w:val="0"/>
  </w:num>
  <w:num w:numId="2" w16cid:durableId="425884423">
    <w:abstractNumId w:val="1"/>
  </w:num>
  <w:num w:numId="3" w16cid:durableId="1006590213">
    <w:abstractNumId w:val="3"/>
  </w:num>
  <w:num w:numId="4" w16cid:durableId="1323050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F7"/>
    <w:rsid w:val="0033547E"/>
    <w:rsid w:val="003F6035"/>
    <w:rsid w:val="00606960"/>
    <w:rsid w:val="00651EF7"/>
    <w:rsid w:val="0067316E"/>
    <w:rsid w:val="00764A37"/>
    <w:rsid w:val="00DF6E29"/>
    <w:rsid w:val="00DF7E5F"/>
    <w:rsid w:val="00F5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9395"/>
  <w15:chartTrackingRefBased/>
  <w15:docId w15:val="{AC944CA2-1D87-4449-A356-3A016BC7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538</Words>
  <Characters>3832</Characters>
  <Application>Microsoft Office Word</Application>
  <DocSecurity>0</DocSecurity>
  <Lines>58</Lines>
  <Paragraphs>36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Legendary Legend</dc:creator>
  <cp:keywords/>
  <dc:description/>
  <cp:lastModifiedBy>Legendary Legend</cp:lastModifiedBy>
  <cp:revision>1</cp:revision>
  <dcterms:created xsi:type="dcterms:W3CDTF">2026-01-08T09:26:00Z</dcterms:created>
  <dcterms:modified xsi:type="dcterms:W3CDTF">2026-01-08T09:28:00Z</dcterms:modified>
</cp:coreProperties>
</file>