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Body"/>
        <w:rPr>
          <w:b w:val="1"/>
          <w:bCs w:val="1"/>
          <w:i w:val="1"/>
          <w:i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NewRa Grids</w:t>
      </w:r>
      <w:r>
        <w:rPr>
          <w:b w:val="1"/>
          <w:bCs w:val="1"/>
          <w:sz w:val="28"/>
          <w:szCs w:val="28"/>
          <w:rtl w:val="0"/>
          <w:lang w:val="en-US"/>
        </w:rPr>
        <w:t xml:space="preserve">- </w:t>
      </w:r>
      <w:r>
        <w:rPr>
          <w:b w:val="1"/>
          <w:bCs w:val="1"/>
          <w:i w:val="1"/>
          <w:iCs w:val="1"/>
          <w:sz w:val="28"/>
          <w:szCs w:val="28"/>
          <w:rtl w:val="0"/>
          <w:lang w:val="en-US"/>
        </w:rPr>
        <w:t>Powering the Green Shift</w:t>
      </w:r>
    </w:p>
    <w:p>
      <w:pPr>
        <w:pStyle w:val="Default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rtl w:val="0"/>
          <w:lang w:val="en-US"/>
        </w:rPr>
        <w:t>“</w:t>
      </w:r>
      <w:r>
        <w:rPr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Energy as </w:t>
      </w:r>
      <w:r>
        <w:rPr>
          <w:rFonts w:ascii="Times New Roman" w:hAnsi="Times New Roman"/>
          <w:b w:val="1"/>
          <w:bCs w:val="1"/>
          <w:rtl w:val="0"/>
        </w:rPr>
        <w:t>Automated | Affordable | Sustainable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service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”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i w:val="1"/>
          <w:iCs w:val="1"/>
          <w:u w:val="single"/>
        </w:rPr>
      </w:pPr>
      <w:r>
        <w:rPr>
          <w:rFonts w:ascii="Times New Roman" w:hAnsi="Times New Roman"/>
          <w:b w:val="1"/>
          <w:bCs w:val="1"/>
          <w:i w:val="1"/>
          <w:iCs w:val="1"/>
          <w:u w:val="single"/>
          <w:rtl w:val="0"/>
          <w:lang w:val="en-US"/>
        </w:rPr>
        <w:t>Who</w:t>
      </w:r>
      <w:r>
        <w:rPr>
          <w:rFonts w:ascii="Times New Roman" w:hAnsi="Times New Roman"/>
          <w:b w:val="1"/>
          <w:bCs w:val="1"/>
          <w:i w:val="1"/>
          <w:iCs w:val="1"/>
          <w:u w:val="single"/>
          <w:rtl w:val="0"/>
          <w:lang w:val="en-US"/>
        </w:rPr>
        <w:t xml:space="preserve"> are We</w:t>
      </w:r>
      <w:r>
        <w:rPr>
          <w:rFonts w:ascii="Times New Roman" w:hAnsi="Times New Roman"/>
          <w:i w:val="1"/>
          <w:iCs w:val="1"/>
          <w:u w:val="single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NewRa Grids is a new-age climate-tech company transforming how industries and businesses consume energy.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We provide </w:t>
      </w:r>
      <w:r>
        <w:rPr>
          <w:rFonts w:ascii="Times New Roman" w:hAnsi="Times New Roman"/>
          <w:rtl w:val="0"/>
          <w:lang w:val="en-US"/>
        </w:rPr>
        <w:t xml:space="preserve">Green </w:t>
      </w:r>
      <w:r>
        <w:rPr>
          <w:rFonts w:ascii="Times New Roman" w:hAnsi="Times New Roman"/>
          <w:rtl w:val="0"/>
          <w:lang w:val="en-US"/>
        </w:rPr>
        <w:t xml:space="preserve">, reliable, and cost-effective power directly from </w:t>
      </w:r>
      <w:r>
        <w:rPr>
          <w:rFonts w:ascii="Times New Roman" w:hAnsi="Times New Roman"/>
          <w:rtl w:val="0"/>
          <w:lang w:val="en-US"/>
        </w:rPr>
        <w:t xml:space="preserve">our </w:t>
      </w:r>
      <w:r>
        <w:rPr>
          <w:rFonts w:ascii="Times New Roman" w:hAnsi="Times New Roman"/>
          <w:rtl w:val="0"/>
          <w:lang w:val="en-US"/>
        </w:rPr>
        <w:t>renewable energy</w:t>
      </w:r>
      <w:r>
        <w:rPr>
          <w:rFonts w:ascii="Times New Roman" w:hAnsi="Times New Roman"/>
          <w:rtl w:val="0"/>
          <w:lang w:val="en-US"/>
        </w:rPr>
        <w:t xml:space="preserve"> partners</w:t>
      </w:r>
      <w:r>
        <w:rPr>
          <w:rFonts w:ascii="Times New Roman" w:hAnsi="Times New Roman"/>
          <w:rtl w:val="0"/>
          <w:lang w:val="en-US"/>
        </w:rPr>
        <w:t xml:space="preserve"> to your facility through</w:t>
      </w:r>
      <w:r>
        <w:rPr>
          <w:rFonts w:ascii="Times New Roman" w:hAnsi="Times New Roman"/>
          <w:rtl w:val="0"/>
          <w:lang w:val="en-US"/>
        </w:rPr>
        <w:t xml:space="preserve">,  </w:t>
      </w:r>
      <w:r>
        <w:rPr>
          <w:rFonts w:ascii="Times New Roman" w:hAnsi="Times New Roman"/>
          <w:rtl w:val="0"/>
          <w:lang w:val="en-US"/>
        </w:rPr>
        <w:t xml:space="preserve">Open Access 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/>
          <w:rtl w:val="0"/>
          <w:lang w:val="en-US"/>
        </w:rPr>
        <w:t>Green Energy Open Access (GEOA) and Virtual Power Purchase models.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  <w:u w:val="single"/>
        </w:rPr>
      </w:pPr>
      <w:r>
        <w:rPr>
          <w:rFonts w:ascii="Times New Roman" w:hAnsi="Times New Roman"/>
          <w:b w:val="1"/>
          <w:bCs w:val="1"/>
          <w:i w:val="1"/>
          <w:iCs w:val="1"/>
          <w:u w:val="single"/>
          <w:rtl w:val="0"/>
          <w:lang w:val="en-US"/>
        </w:rPr>
        <w:t>What We Do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We </w:t>
      </w:r>
      <w:r>
        <w:rPr>
          <w:rFonts w:ascii="Times New Roman" w:hAnsi="Times New Roman"/>
          <w:rtl w:val="0"/>
          <w:lang w:val="en-US"/>
        </w:rPr>
        <w:t xml:space="preserve">aggregate </w:t>
      </w:r>
      <w:r>
        <w:rPr>
          <w:rFonts w:ascii="Times New Roman" w:hAnsi="Times New Roman"/>
          <w:rtl w:val="0"/>
          <w:lang w:val="en-US"/>
        </w:rPr>
        <w:t xml:space="preserve">industrial and commercial consumers with </w:t>
      </w:r>
      <w:r>
        <w:rPr>
          <w:rFonts w:ascii="Times New Roman" w:hAnsi="Times New Roman"/>
          <w:rtl w:val="0"/>
          <w:lang w:val="en-US"/>
        </w:rPr>
        <w:t xml:space="preserve">our </w:t>
      </w:r>
      <w:r>
        <w:rPr>
          <w:rFonts w:ascii="Times New Roman" w:hAnsi="Times New Roman"/>
          <w:rtl w:val="0"/>
          <w:lang w:val="en-US"/>
        </w:rPr>
        <w:t xml:space="preserve">renewable energy </w:t>
      </w:r>
      <w:r>
        <w:rPr>
          <w:rFonts w:ascii="Times New Roman" w:hAnsi="Times New Roman"/>
          <w:rtl w:val="0"/>
          <w:lang w:val="en-US"/>
        </w:rPr>
        <w:t>partners</w:t>
      </w:r>
      <w:r>
        <w:rPr>
          <w:rFonts w:ascii="Times New Roman" w:hAnsi="Times New Roman"/>
          <w:rtl w:val="0"/>
          <w:lang w:val="en-US"/>
        </w:rPr>
        <w:t xml:space="preserve"> across Maharashtra through a fully digital, subscription-based ecosystem.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Our platform automates the entire process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/>
          <w:rtl w:val="0"/>
          <w:lang w:val="en-US"/>
        </w:rPr>
        <w:t xml:space="preserve"> from energy allocation, billing, and compliances to performance analytics ensuring a seamless transition to green power without operational burden.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1"/>
          <w:bCs w:val="1"/>
          <w:i w:val="1"/>
          <w:iCs w:val="1"/>
        </w:rPr>
      </w:pPr>
      <w:r>
        <w:rPr>
          <w:rFonts w:ascii="Times New Roman" w:hAnsi="Times New Roman"/>
          <w:b w:val="1"/>
          <w:bCs w:val="1"/>
          <w:i w:val="1"/>
          <w:iCs w:val="1"/>
          <w:u w:val="single"/>
          <w:rtl w:val="0"/>
          <w:lang w:val="en-US"/>
        </w:rPr>
        <w:t>How We Do</w:t>
      </w:r>
      <w:r>
        <w:rPr>
          <w:rFonts w:ascii="Times New Roman" w:hAnsi="Times New Roman"/>
          <w:b w:val="1"/>
          <w:bCs w:val="1"/>
          <w:i w:val="1"/>
          <w:iCs w:val="1"/>
          <w:rtl w:val="0"/>
        </w:rPr>
        <w:t xml:space="preserve"> 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Partner with solar and wind farms as NewRa Energy Partners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Aggregate and supply renewable power to industries as Energy Subscribers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Manage all regulatory, billing, and open access processes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Provide real-time visibility through our AI-powered energy dashboard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Why Onboard NewRa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>Save on Energy Bills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- </w:t>
      </w:r>
      <w:r>
        <w:rPr>
          <w:rFonts w:ascii="Times New Roman" w:hAnsi="Times New Roman"/>
          <w:rtl w:val="0"/>
          <w:lang w:val="en-US"/>
        </w:rPr>
        <w:t>Reduce your power cost by 20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  <w:lang w:val="en-US"/>
        </w:rPr>
        <w:t>40% compared to MSEDCL tariffs.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u w:val="single"/>
          <w:rtl w:val="0"/>
          <w:lang w:val="nl-NL"/>
        </w:rPr>
        <w:t xml:space="preserve">Boost Profit Margins 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- </w:t>
      </w:r>
      <w:r>
        <w:rPr>
          <w:rFonts w:ascii="Times New Roman" w:hAnsi="Times New Roman"/>
          <w:rtl w:val="0"/>
          <w:lang w:val="en-US"/>
        </w:rPr>
        <w:t>Redirect savings into your business or reduce product cost to gain competitive advantage.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Stay Compliant </w:t>
      </w: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 xml:space="preserve">- </w:t>
      </w:r>
      <w:r>
        <w:rPr>
          <w:rFonts w:ascii="Times New Roman" w:hAnsi="Times New Roman"/>
          <w:rtl w:val="0"/>
          <w:lang w:val="en-US"/>
        </w:rPr>
        <w:t>Meet Renewable Purchase Obligation (RPO) norms effortlessly.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u w:val="single"/>
          <w:rtl w:val="0"/>
          <w:lang w:val="de-DE"/>
        </w:rPr>
        <w:t>Go Carbon Neutral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- </w:t>
      </w:r>
      <w:r>
        <w:rPr>
          <w:rFonts w:ascii="Times New Roman" w:hAnsi="Times New Roman"/>
          <w:rtl w:val="0"/>
          <w:lang w:val="en-US"/>
        </w:rPr>
        <w:t>Each unit of green energy replaces fossil power, cutting your carbon footprint.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u w:val="single"/>
          <w:rtl w:val="0"/>
          <w:lang w:val="en-US"/>
        </w:rPr>
        <w:t>Support State Sustainability Goals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- </w:t>
      </w:r>
      <w:r>
        <w:rPr>
          <w:rFonts w:ascii="Times New Roman" w:hAnsi="Times New Roman"/>
          <w:rtl w:val="0"/>
        </w:rPr>
        <w:t xml:space="preserve"> Join Maharashtra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s mission toward a 500 GW renewable future.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u w:val="single"/>
          <w:rtl w:val="0"/>
          <w:lang w:val="it-IT"/>
        </w:rPr>
        <w:t>Zero Capex, Zero Hassle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- </w:t>
      </w:r>
      <w:r>
        <w:rPr>
          <w:rFonts w:ascii="Times New Roman" w:hAnsi="Times New Roman"/>
          <w:rtl w:val="0"/>
          <w:lang w:val="en-US"/>
        </w:rPr>
        <w:t>Enjoy clean energy without investing in infrastructure or maintenance.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Let</w:t>
      </w:r>
      <w:r>
        <w:rPr>
          <w:rFonts w:ascii="Times New Roman" w:hAnsi="Times New Roman" w:hint="default"/>
          <w:rtl w:val="0"/>
          <w:lang w:val="en-US"/>
        </w:rPr>
        <w:t>’</w:t>
      </w:r>
      <w:r>
        <w:rPr>
          <w:rFonts w:ascii="Times New Roman" w:hAnsi="Times New Roman"/>
          <w:rtl w:val="0"/>
          <w:lang w:val="en-US"/>
        </w:rPr>
        <w:t>s look at NewRa onboarding journey</w:t>
      </w:r>
      <w:r>
        <w:rPr>
          <w:rFonts w:ascii="Times New Roman" w:hAnsi="Times New Roman" w:hint="default"/>
          <w:rtl w:val="0"/>
          <w:lang w:val="en-US"/>
        </w:rPr>
        <w:t>…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NewRa Grids </w:t>
      </w:r>
      <w:r>
        <w:rPr>
          <w:rFonts w:ascii="Times New Roman" w:hAnsi="Times New Roman" w:hint="default"/>
          <w:b w:val="1"/>
          <w:bCs w:val="1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  <w:lang w:val="en-US"/>
        </w:rPr>
        <w:t>Consumer Onboarding Journey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Simplifying Your Transition to Renewable Energy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New Roman" w:hAnsi="Times New Roman"/>
          <w:b w:val="1"/>
          <w:bCs w:val="1"/>
          <w:rtl w:val="0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Step 1: Introduction &amp; Energy Profiling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Subscriber Process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Share basic details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en-US"/>
        </w:rPr>
        <w:t>location, connected load, sanctioned demand, tariff category, and monthly consumption data (12-month bill copy).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Provide GST and KYC documents.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NewRa Internal Process: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Analyze consumer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s tariff, TOD pattern, and consumption to estimate potential savings.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Match the consumer with the most suitable Energy Partner </w:t>
      </w:r>
      <w:r>
        <w:rPr>
          <w:rFonts w:ascii="Times New Roman" w:hAnsi="Times New Roman"/>
          <w:rtl w:val="0"/>
          <w:lang w:val="en-US"/>
        </w:rPr>
        <w:t>DERS</w:t>
      </w:r>
      <w:r>
        <w:rPr>
          <w:rFonts w:ascii="Times New Roman" w:hAnsi="Times New Roman"/>
          <w:rtl w:val="0"/>
          <w:lang w:val="en-US"/>
        </w:rPr>
        <w:t xml:space="preserve"> based on location and capacity.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Generate customized saving &amp; tariff comparison report.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New Roman" w:hAnsi="Times New Roman"/>
          <w:b w:val="1"/>
          <w:bCs w:val="1"/>
          <w:rtl w:val="0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Step 2: Proposal &amp; Agreement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Subscriber Process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Review commercial offer and savings model.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Sign Letter of Intent (LOI) or Work Order confirming interest and capacity allocation.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NewRa Internal Process: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Finalize draft Power Purchase Agreement (PPA) and Aggregator Subscription Agreement.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Get regulatory &amp; legal vetting done.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Lock capacity with Energy Partner through onboarding form and verification.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New Roman" w:hAnsi="Times New Roman"/>
          <w:b w:val="1"/>
          <w:bCs w:val="1"/>
          <w:rtl w:val="0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Step 3: Regulatory &amp; Technical Compliance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Subscriber Process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Provide required documents for Open Access / GEOA application.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NewRa Internal Process: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File application with MSEDCL, SLDC, and MEDA as per MERC regulations.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Coordinate feasibility, connectivity, and meter installation.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Ensure RPO alignment and SLDC scheduling.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New Roman" w:hAnsi="Times New Roman"/>
          <w:b w:val="1"/>
          <w:bCs w:val="1"/>
          <w:rtl w:val="0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Step 4: Platform Onboarding &amp; Automation Setup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Subscriber Process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Receive login credentials for NewRa Smart Energy Dashboard.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Verify plant allocation, projected savings, and live tracking interface.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NewRa Internal Process: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Integrate consumer meter data through API / SEM feed.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Configure billing automation, TOD tracking, and carbon offset analytics.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Enable automated invoicing and digital reporting.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New Roman" w:hAnsi="Times New Roman"/>
          <w:b w:val="1"/>
          <w:bCs w:val="1"/>
          <w:rtl w:val="0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Step 5: Energy Delivery &amp; Billing Cycle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Subscriber Process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Begin receiving green power through Open Access supply.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Receive monthly bills and reports via NewRa portal.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NewRa Internal Process: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Monitor generation and consumption parity.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Manage deviations and reconciliation with SLDC.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Provide monthly Green Energy Certificate &amp; Carbon Saving Report.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New Roman" w:hAnsi="Times New Roman"/>
          <w:b w:val="1"/>
          <w:bCs w:val="1"/>
          <w:rtl w:val="0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Step 6: Impact &amp; Continuity</w:t>
      </w:r>
    </w:p>
    <w:p>
      <w:pPr>
        <w:pStyle w:val="Default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Subscriber Process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Track real-time savings, RPO compliance, and emission reduction.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Renew or scale subscription as demand grows.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NewRa Internal Process: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Conduct quarterly performance reviews.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Share ESG impact summaries for corporate sustainability reporting.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  <w:u w:val="single"/>
        </w:rPr>
      </w:pPr>
      <w:r>
        <w:rPr>
          <w:rFonts w:ascii="Times New Roman" w:hAnsi="Times New Roman"/>
          <w:b w:val="1"/>
          <w:bCs w:val="1"/>
          <w:sz w:val="26"/>
          <w:szCs w:val="26"/>
          <w:u w:val="single"/>
          <w:rtl w:val="0"/>
          <w:lang w:val="it-IT"/>
        </w:rPr>
        <w:t>Outcome: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20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  <w:lang w:val="en-US"/>
        </w:rPr>
        <w:t>40% energy cost savings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Compliance with RPO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Reduced carbon footprint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Enhanced brand sustainability score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Zero investment, zero maintenance, full transparency</w:t>
      </w:r>
      <w:r>
        <w:rPr>
          <w:rFonts w:ascii="Times New Roman" w:hAnsi="Times New Roman"/>
          <w:rtl w:val="0"/>
          <w:lang w:val="en-US"/>
        </w:rPr>
        <w:t>,+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Body"/>
      </w:pPr>
      <w:r>
        <w:rPr>
          <w:rFonts w:ascii="Times New Roman" w:hAnsi="Times New Roman"/>
          <w:b w:val="1"/>
          <w:bCs w:val="1"/>
          <w:i w:val="1"/>
          <w:iCs w:val="1"/>
          <w:sz w:val="26"/>
          <w:szCs w:val="26"/>
          <w:rtl w:val="0"/>
          <w:lang w:val="en-US"/>
        </w:rPr>
        <w:t>At NewRa Grids, we</w:t>
      </w:r>
      <w:r>
        <w:rPr>
          <w:rFonts w:ascii="Times New Roman" w:hAnsi="Times New Roman" w:hint="default"/>
          <w:b w:val="1"/>
          <w:bCs w:val="1"/>
          <w:i w:val="1"/>
          <w:iCs w:val="1"/>
          <w:sz w:val="26"/>
          <w:szCs w:val="26"/>
          <w:rtl w:val="1"/>
        </w:rPr>
        <w:t>’</w:t>
      </w:r>
      <w:r>
        <w:rPr>
          <w:rFonts w:ascii="Times New Roman" w:hAnsi="Times New Roman"/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re not just building an energy company </w:t>
      </w:r>
      <w:r>
        <w:rPr>
          <w:rFonts w:ascii="Times New Roman" w:hAnsi="Times New Roman"/>
          <w:b w:val="1"/>
          <w:bCs w:val="1"/>
          <w:i w:val="1"/>
          <w:iCs w:val="1"/>
          <w:sz w:val="26"/>
          <w:szCs w:val="26"/>
          <w:rtl w:val="0"/>
          <w:lang w:val="en-US"/>
        </w:rPr>
        <w:t>,</w:t>
      </w:r>
      <w:r>
        <w:rPr>
          <w:rFonts w:ascii="Times New Roman" w:hAnsi="Times New Roman"/>
          <w:b w:val="1"/>
          <w:bCs w:val="1"/>
          <w:i w:val="1"/>
          <w:iCs w:val="1"/>
          <w:sz w:val="26"/>
          <w:szCs w:val="26"/>
          <w:rtl w:val="0"/>
          <w:lang w:val="en-US"/>
        </w:rPr>
        <w:t>we</w:t>
      </w:r>
      <w:r>
        <w:rPr>
          <w:rFonts w:ascii="Times New Roman" w:hAnsi="Times New Roman" w:hint="default"/>
          <w:b w:val="1"/>
          <w:bCs w:val="1"/>
          <w:i w:val="1"/>
          <w:iCs w:val="1"/>
          <w:sz w:val="26"/>
          <w:szCs w:val="26"/>
          <w:rtl w:val="1"/>
        </w:rPr>
        <w:t>’</w:t>
      </w:r>
      <w:r>
        <w:rPr>
          <w:rFonts w:ascii="Times New Roman" w:hAnsi="Times New Roman"/>
          <w:b w:val="1"/>
          <w:bCs w:val="1"/>
          <w:i w:val="1"/>
          <w:iCs w:val="1"/>
          <w:sz w:val="26"/>
          <w:szCs w:val="26"/>
          <w:rtl w:val="0"/>
          <w:lang w:val="en-US"/>
        </w:rPr>
        <w:t>re building a movement.</w:t>
      </w:r>
      <w:r>
        <w:rPr>
          <w:rFonts w:ascii="Times New Roman" w:hAnsi="Times New Roman"/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and as </w:t>
      </w:r>
      <w:r>
        <w:rPr>
          <w:rFonts w:ascii="Times New Roman" w:hAnsi="Times New Roman"/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 part of NewRa, you are contributing to a cleaner, brighter, and more responsible future. Together, we</w:t>
      </w:r>
      <w:r>
        <w:rPr>
          <w:rFonts w:ascii="Times New Roman" w:hAnsi="Times New Roman" w:hint="default"/>
          <w:b w:val="1"/>
          <w:bCs w:val="1"/>
          <w:i w:val="1"/>
          <w:iCs w:val="1"/>
          <w:sz w:val="26"/>
          <w:szCs w:val="26"/>
          <w:rtl w:val="1"/>
        </w:rPr>
        <w:t>’</w:t>
      </w:r>
      <w:r>
        <w:rPr>
          <w:rFonts w:ascii="Times New Roman" w:hAnsi="Times New Roman"/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re reimagining energy </w:t>
      </w:r>
      <w:r>
        <w:rPr>
          <w:rFonts w:ascii="Times New Roman" w:hAnsi="Times New Roman"/>
          <w:b w:val="1"/>
          <w:bCs w:val="1"/>
          <w:i w:val="1"/>
          <w:iCs w:val="1"/>
          <w:sz w:val="26"/>
          <w:szCs w:val="26"/>
          <w:rtl w:val="0"/>
          <w:lang w:val="en-US"/>
        </w:rPr>
        <w:t xml:space="preserve">, </w:t>
      </w:r>
      <w:r>
        <w:rPr>
          <w:rFonts w:ascii="Times New Roman" w:hAnsi="Times New Roman"/>
          <w:b w:val="1"/>
          <w:bCs w:val="1"/>
          <w:i w:val="1"/>
          <w:iCs w:val="1"/>
          <w:sz w:val="26"/>
          <w:szCs w:val="26"/>
          <w:rtl w:val="0"/>
          <w:lang w:val="en-US"/>
        </w:rPr>
        <w:t>not as a commodity, but as a service that empowers communities.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52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4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96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18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0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2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84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06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8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5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1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