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spacing w:before="1560"/>
        <w:jc w:val="left"/>
      </w:pPr>
      <w:r>
        <w:t>REPORT 1  /  PRODUCT DISCOVERY</w:t>
      </w:r>
    </w:p>
    <w:p>
      <w:pPr>
        <w:spacing w:before="240" w:after="20"/>
      </w:pPr>
      <w:r>
        <w:rPr>
          <w:rFonts w:ascii="Aptos Display" w:hAnsi="Aptos Display"/>
          <w:b/>
          <w:color w:val="0E8F8F"/>
          <w:sz w:val="72"/>
        </w:rPr>
        <w:t>RETAILPULSE</w:t>
      </w:r>
    </w:p>
    <w:p>
      <w:pPr>
        <w:pStyle w:val="Title"/>
        <w:spacing w:before="100" w:after="240"/>
      </w:pPr>
      <w:r>
        <w:t>Product Concept &amp; Problem Definition</w:t>
      </w:r>
    </w:p>
    <w:p>
      <w:pPr>
        <w:pStyle w:val="Subtitle"/>
        <w:spacing w:after="400"/>
      </w:pPr>
      <w:r>
        <w:t>A business-focused report for the RetailPulse idea</w:t>
      </w:r>
    </w:p>
    <w:tbl>
      <w:tblPr>
        <w:tblW w:type="auto" w:w="0"/>
        <w:tblLayout w:type="fixed"/>
        <w:tblLook w:firstColumn="1" w:firstRow="1" w:lastColumn="0" w:lastRow="0" w:noHBand="0" w:noVBand="1" w:val="04A0"/>
      </w:tblPr>
      <w:tblGrid>
        <w:gridCol w:w="9864"/>
      </w:tblGrid>
      <w:tr>
        <w:tc>
          <w:tcPr>
            <w:tcW w:type="dxa" w:w="9994"/>
            <w:shd w:fill="0E8F8F"/>
            <w:tcMar>
              <w:top w:w="30" w:type="dxa"/>
              <w:start w:w="30" w:type="dxa"/>
              <w:bottom w:w="30" w:type="dxa"/>
              <w:end w:w="30" w:type="dxa"/>
            </w:tcMar>
          </w:tcPr>
          <w:p>
            <w:pPr>
              <w:spacing w:after="0"/>
            </w:pPr>
            <w:r>
              <w:rPr>
                <w:sz w:val="4"/>
              </w:rPr>
              <w:t xml:space="preserve"> </w:t>
            </w:r>
          </w:p>
        </w:tc>
      </w:tr>
    </w:tbl>
    <w:p>
      <w:pPr>
        <w:spacing w:before="360" w:after="120"/>
      </w:pPr>
      <w:r>
        <w:rPr>
          <w:b/>
          <w:color w:val="183247"/>
          <w:sz w:val="18"/>
        </w:rPr>
        <w:t>DOCUMENT PURPOSE</w:t>
      </w:r>
    </w:p>
    <w:p>
      <w:pPr>
        <w:spacing w:after="400" w:line="276" w:lineRule="auto"/>
      </w:pPr>
      <w:r>
        <w:t>Explains the problem, intended users, product capabilities, user journey, current alternatives, and value proposition. This report deliberately excludes the implementation architecture and planned technical stack.</w:t>
      </w:r>
    </w:p>
    <w:tbl>
      <w:tblPr>
        <w:tblW w:type="auto" w:w="0"/>
        <w:jc w:val="left"/>
        <w:tblLayout w:type="fixed"/>
        <w:tblLook w:firstColumn="1" w:firstRow="1" w:lastColumn="0" w:lastRow="0" w:noHBand="0" w:noVBand="1" w:val="04A0"/>
      </w:tblPr>
      <w:tblGrid>
        <w:gridCol w:w="2088"/>
        <w:gridCol w:w="7704"/>
      </w:tblGrid>
      <w:tr>
        <w:tc>
          <w:tcPr>
            <w:tcW w:type="dxa" w:w="2088"/>
            <w:shd w:fill="E7F5F3"/>
            <w:tcMar>
              <w:top w:w="90" w:type="dxa"/>
              <w:start w:w="110" w:type="dxa"/>
              <w:bottom w:w="90" w:type="dxa"/>
              <w:end w:w="110" w:type="dxa"/>
            </w:tcMar>
            <w:tcBorders>
              <w:top w:val="single" w:sz="4" w:color="D6E0E5"/>
              <w:start w:val="single" w:sz="4" w:color="D6E0E5"/>
              <w:bottom w:val="single" w:sz="4" w:color="D6E0E5"/>
              <w:end w:val="single" w:sz="4" w:color="D6E0E5"/>
            </w:tcBorders>
          </w:tcPr>
          <w:p>
            <w:pPr>
              <w:spacing w:after="0"/>
            </w:pPr>
            <w:r>
              <w:rPr>
                <w:b/>
                <w:color w:val="183247"/>
                <w:sz w:val="16"/>
              </w:rPr>
              <w:t>Prepared for</w:t>
            </w:r>
          </w:p>
        </w:tc>
        <w:tc>
          <w:tcPr>
            <w:tcW w:type="dxa" w:w="7704"/>
            <w:shd w:fill="F4F7F9"/>
            <w:tcMar>
              <w:top w:w="90" w:type="dxa"/>
              <w:start w:w="110" w:type="dxa"/>
              <w:bottom w:w="90" w:type="dxa"/>
              <w:end w:w="110" w:type="dxa"/>
            </w:tcMar>
            <w:tcBorders>
              <w:top w:val="single" w:sz="4" w:color="D6E0E5"/>
              <w:start w:val="single" w:sz="4" w:color="D6E0E5"/>
              <w:bottom w:val="single" w:sz="4" w:color="D6E0E5"/>
              <w:end w:val="single" w:sz="4" w:color="D6E0E5"/>
            </w:tcBorders>
          </w:tcPr>
          <w:p>
            <w:pPr>
              <w:spacing w:after="0"/>
            </w:pPr>
            <w:r>
              <w:rPr>
                <w:sz w:val="17"/>
              </w:rPr>
              <w:t>Academic project planning</w:t>
            </w:r>
          </w:p>
        </w:tc>
      </w:tr>
      <w:tr>
        <w:tc>
          <w:tcPr>
            <w:tcW w:type="dxa" w:w="2088"/>
            <w:shd w:fill="E7F5F3"/>
            <w:tcMar>
              <w:top w:w="90" w:type="dxa"/>
              <w:start w:w="110" w:type="dxa"/>
              <w:bottom w:w="90" w:type="dxa"/>
              <w:end w:w="110" w:type="dxa"/>
            </w:tcMar>
            <w:tcBorders>
              <w:top w:val="single" w:sz="4" w:color="D6E0E5"/>
              <w:start w:val="single" w:sz="4" w:color="D6E0E5"/>
              <w:bottom w:val="single" w:sz="4" w:color="D6E0E5"/>
              <w:end w:val="single" w:sz="4" w:color="D6E0E5"/>
            </w:tcBorders>
          </w:tcPr>
          <w:p>
            <w:pPr>
              <w:spacing w:after="0"/>
            </w:pPr>
            <w:r>
              <w:rPr>
                <w:b/>
                <w:color w:val="183247"/>
                <w:sz w:val="16"/>
              </w:rPr>
              <w:t>Project</w:t>
            </w:r>
          </w:p>
        </w:tc>
        <w:tc>
          <w:tcPr>
            <w:tcW w:type="dxa" w:w="7704"/>
            <w:shd w:fill="F4F7F9"/>
            <w:tcMar>
              <w:top w:w="90" w:type="dxa"/>
              <w:start w:w="110" w:type="dxa"/>
              <w:bottom w:w="90" w:type="dxa"/>
              <w:end w:w="110" w:type="dxa"/>
            </w:tcMar>
            <w:tcBorders>
              <w:top w:val="single" w:sz="4" w:color="D6E0E5"/>
              <w:start w:val="single" w:sz="4" w:color="D6E0E5"/>
              <w:bottom w:val="single" w:sz="4" w:color="D6E0E5"/>
              <w:end w:val="single" w:sz="4" w:color="D6E0E5"/>
            </w:tcBorders>
          </w:tcPr>
          <w:p>
            <w:pPr>
              <w:spacing w:after="0"/>
            </w:pPr>
            <w:r>
              <w:rPr>
                <w:sz w:val="17"/>
              </w:rPr>
              <w:t>RetailPulse — Retail Intelligence Concept</w:t>
            </w:r>
          </w:p>
        </w:tc>
      </w:tr>
      <w:tr>
        <w:tc>
          <w:tcPr>
            <w:tcW w:type="dxa" w:w="2088"/>
            <w:shd w:fill="E7F5F3"/>
            <w:tcMar>
              <w:top w:w="90" w:type="dxa"/>
              <w:start w:w="110" w:type="dxa"/>
              <w:bottom w:w="90" w:type="dxa"/>
              <w:end w:w="110" w:type="dxa"/>
            </w:tcMar>
            <w:tcBorders>
              <w:top w:val="single" w:sz="4" w:color="D6E0E5"/>
              <w:start w:val="single" w:sz="4" w:color="D6E0E5"/>
              <w:bottom w:val="single" w:sz="4" w:color="D6E0E5"/>
              <w:end w:val="single" w:sz="4" w:color="D6E0E5"/>
            </w:tcBorders>
          </w:tcPr>
          <w:p>
            <w:pPr>
              <w:spacing w:after="0"/>
            </w:pPr>
            <w:r>
              <w:rPr>
                <w:b/>
                <w:color w:val="183247"/>
                <w:sz w:val="16"/>
              </w:rPr>
              <w:t>Date</w:t>
            </w:r>
          </w:p>
        </w:tc>
        <w:tc>
          <w:tcPr>
            <w:tcW w:type="dxa" w:w="7704"/>
            <w:shd w:fill="F4F7F9"/>
            <w:tcMar>
              <w:top w:w="90" w:type="dxa"/>
              <w:start w:w="110" w:type="dxa"/>
              <w:bottom w:w="90" w:type="dxa"/>
              <w:end w:w="110" w:type="dxa"/>
            </w:tcMar>
            <w:tcBorders>
              <w:top w:val="single" w:sz="4" w:color="D6E0E5"/>
              <w:start w:val="single" w:sz="4" w:color="D6E0E5"/>
              <w:bottom w:val="single" w:sz="4" w:color="D6E0E5"/>
              <w:end w:val="single" w:sz="4" w:color="D6E0E5"/>
            </w:tcBorders>
          </w:tcPr>
          <w:p>
            <w:pPr>
              <w:spacing w:after="0"/>
            </w:pPr>
            <w:r>
              <w:rPr>
                <w:sz w:val="17"/>
              </w:rPr>
              <w:t>22 October 2026</w:t>
            </w:r>
          </w:p>
        </w:tc>
      </w:tr>
    </w:tbl>
    <w:p>
      <w:pPr>
        <w:spacing w:before="760" w:after="0"/>
      </w:pPr>
      <w:r>
        <w:rPr>
          <w:b/>
          <w:color w:val="D9824A"/>
        </w:rPr>
        <w:t xml:space="preserve">Note: </w:t>
      </w:r>
      <w:r>
        <w:t>This is a planning report. Proposed features and hypotheses are identified as such; market claims are tied to cited sources where available.</w:t>
      </w:r>
    </w:p>
    <w:p>
      <w:r>
        <w:br w:type="page"/>
      </w:r>
    </w:p>
    <w:tbl>
      <w:tblPr>
        <w:tblW w:type="auto" w:w="0"/>
        <w:jc w:val="center"/>
        <w:tblLayout w:type="fixed"/>
        <w:tblLook w:firstColumn="1" w:firstRow="1" w:lastColumn="0" w:lastRow="0" w:noHBand="0" w:noVBand="1" w:val="04A0"/>
      </w:tblPr>
      <w:tblGrid>
        <w:gridCol w:w="9864"/>
      </w:tblGrid>
      <w:tr>
        <w:trPr>
          <w:cantSplit/>
        </w:trPr>
        <w:tc>
          <w:tcPr>
            <w:tcW w:type="dxa" w:w="9994"/>
            <w:shd w:fill="EAF3F6"/>
            <w:tcMar>
              <w:top w:w="130" w:type="dxa"/>
              <w:start w:w="170" w:type="dxa"/>
              <w:bottom w:w="130" w:type="dxa"/>
              <w:end w:w="170" w:type="dxa"/>
            </w:tcMar>
            <w:tcBorders>
              <w:top w:val="single" w:sz="4" w:color="D6E0E5"/>
              <w:start w:val="single" w:sz="22" w:color="0E8F8F"/>
              <w:bottom w:val="single" w:sz="4" w:color="D6E0E5"/>
              <w:end w:val="single" w:sz="4" w:color="D6E0E5"/>
            </w:tcBorders>
          </w:tcPr>
          <w:p>
            <w:pPr>
              <w:spacing w:after="0"/>
            </w:pPr>
            <w:r>
              <w:rPr>
                <w:b/>
                <w:color w:val="0E8F8F"/>
              </w:rPr>
              <w:t xml:space="preserve">EXECUTIVE SUMMARY  </w:t>
            </w:r>
            <w:r>
              <w:t>RetailPulse is a proposed retail intelligence product for independent grocery stores and small-to-medium supermarkets. It aims to convert sales, purchase, inventory, and expiry records into understandable insights and suggested actions. Rather than replacing the retailer’s existing billing system, the concept focuses on helping owners answer three practical questions: what happened, what may happen next, and what should be reviewed or ordered next.</w:t>
            </w:r>
          </w:p>
        </w:tc>
      </w:tr>
    </w:tbl>
    <w:p>
      <w:pPr>
        <w:spacing w:after="20"/>
      </w:pPr>
    </w:p>
    <w:p>
      <w:pPr>
        <w:pStyle w:val="Heading1"/>
      </w:pPr>
      <w:r>
        <w:t>1. Product overview</w:t>
      </w:r>
    </w:p>
    <w:p>
      <w:r>
        <w:t>RetailPulse is a proposed decision-support platform for grocery retailers. Its core purpose is to help store owners understand product performance, anticipate demand, identify inventory risks, and make more informed purchasing decisions. Many retailers already record transactions in billing software, accounting tools, spreadsheets, or supplier invoices; the opportunity is to make those records easier to interpret and act on.</w:t>
      </w:r>
    </w:p>
    <w:p>
      <w:r>
        <w:t>The platform is conceived as a practical assistant for a time-constrained owner or manager, not as a replacement for business judgement. It should present concise explanations, show the data behind its recommendations, and allow the retailer to review and change a suggested action before committing money.</w:t>
      </w:r>
    </w:p>
    <w:tbl>
      <w:tblPr>
        <w:tblW w:type="auto" w:w="0"/>
        <w:jc w:val="center"/>
        <w:tblLayout w:type="fixed"/>
        <w:tblLook w:firstColumn="1" w:firstRow="1" w:lastColumn="0" w:lastRow="0" w:noHBand="0" w:noVBand="1" w:val="04A0"/>
      </w:tblPr>
      <w:tblGrid>
        <w:gridCol w:w="9864"/>
      </w:tblGrid>
      <w:tr>
        <w:trPr>
          <w:cantSplit/>
        </w:trPr>
        <w:tc>
          <w:tcPr>
            <w:tcW w:type="dxa" w:w="9994"/>
            <w:shd w:fill="E7F5F3"/>
            <w:tcMar>
              <w:top w:w="130" w:type="dxa"/>
              <w:start w:w="170" w:type="dxa"/>
              <w:bottom w:w="130" w:type="dxa"/>
              <w:end w:w="170" w:type="dxa"/>
            </w:tcMar>
            <w:tcBorders>
              <w:top w:val="single" w:sz="4" w:color="D6E0E5"/>
              <w:start w:val="single" w:sz="22" w:color="0E8F8F"/>
              <w:bottom w:val="single" w:sz="4" w:color="D6E0E5"/>
              <w:end w:val="single" w:sz="4" w:color="D6E0E5"/>
            </w:tcBorders>
          </w:tcPr>
          <w:p>
            <w:pPr>
              <w:spacing w:after="0"/>
            </w:pPr>
            <w:r>
              <w:rPr>
                <w:b/>
                <w:color w:val="0E8F8F"/>
              </w:rPr>
              <w:t xml:space="preserve">ONE-SENTENCE VALUE PROPOSITION  </w:t>
            </w:r>
            <w:r>
              <w:t>RetailPulse helps grocery retailers turn everyday business records into clear sales insights, demand estimates, and explainable inventory and purchasing recommendations.</w:t>
            </w:r>
          </w:p>
        </w:tc>
      </w:tr>
    </w:tbl>
    <w:p>
      <w:pPr>
        <w:spacing w:after="20"/>
      </w:pPr>
    </w:p>
    <w:p>
      <w:pPr>
        <w:pStyle w:val="Heading1"/>
      </w:pPr>
      <w:r>
        <w:t>2. The problem being addressed</w:t>
      </w:r>
    </w:p>
    <w:p>
      <w:pPr>
        <w:pStyle w:val="Heading2"/>
      </w:pPr>
      <w:r>
        <w:t>2.1 Data exists, but decisions still take effort</w:t>
      </w:r>
    </w:p>
    <w:p>
      <w:r>
        <w:t>A store may generate hundreds of bills a day and accumulate product, purchase, supplier, and stock records over months or years. These records are useful only when the owner can connect them to practical decisions. A report that lists yesterday’s sales does not, by itself, explain why an item went out of stock, whether a bulk offer is worthwhile, or how much should be ordered for next week.</w:t>
      </w:r>
    </w:p>
    <w:p>
      <w:pPr>
        <w:pStyle w:val="Heading2"/>
      </w:pPr>
      <w:r>
        <w:t>2.2 Key pain points</w:t>
      </w:r>
    </w:p>
    <w:tbl>
      <w:tblPr>
        <w:tblW w:type="auto" w:w="0"/>
        <w:jc w:val="center"/>
        <w:tblLayout w:type="fixed"/>
        <w:tblLook w:firstColumn="1" w:firstRow="1" w:lastColumn="0" w:lastRow="0" w:noHBand="0" w:noVBand="1" w:val="04A0"/>
      </w:tblPr>
      <w:tblGrid>
        <w:gridCol w:w="1728"/>
        <w:gridCol w:w="3888"/>
        <w:gridCol w:w="4248"/>
      </w:tblGrid>
      <w:tr>
        <w:trPr>
          <w:tblHeader w:val="true"/>
          <w:cantSplit/>
        </w:trPr>
        <w:tc>
          <w:tcPr>
            <w:tcW w:type="dxa" w:w="1728"/>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6"/>
              </w:rPr>
              <w:t>Problem</w:t>
            </w:r>
          </w:p>
        </w:tc>
        <w:tc>
          <w:tcPr>
            <w:tcW w:type="dxa" w:w="3888"/>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6"/>
              </w:rPr>
              <w:t>What it looks like in a store</w:t>
            </w:r>
          </w:p>
        </w:tc>
        <w:tc>
          <w:tcPr>
            <w:tcW w:type="dxa" w:w="4248"/>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6"/>
              </w:rPr>
              <w:t>Potential consequence</w:t>
            </w:r>
          </w:p>
        </w:tc>
      </w:tr>
      <w:tr>
        <w:trPr>
          <w:cantSplit/>
        </w:trPr>
        <w:tc>
          <w:tcPr>
            <w:tcW w:type="dxa" w:w="172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Uncertain ordering</w:t>
            </w:r>
          </w:p>
        </w:tc>
        <w:tc>
          <w:tcPr>
            <w:tcW w:type="dxa" w:w="388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Reorder quantities are based mainly on memory, recent sales, or a supplier suggestion.</w:t>
            </w:r>
          </w:p>
        </w:tc>
        <w:tc>
          <w:tcPr>
            <w:tcW w:type="dxa" w:w="424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Too much cash may be tied up in slow-moving stock, while fast-selling items may run out.</w:t>
            </w:r>
          </w:p>
        </w:tc>
      </w:tr>
      <w:tr>
        <w:trPr>
          <w:cantSplit/>
        </w:trPr>
        <w:tc>
          <w:tcPr>
            <w:tcW w:type="dxa" w:w="172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Poor visibility of slow movers</w:t>
            </w:r>
          </w:p>
        </w:tc>
        <w:tc>
          <w:tcPr>
            <w:tcW w:type="dxa" w:w="388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Products with little recent movement are not reviewed until shelf space or cash becomes a concern.</w:t>
            </w:r>
          </w:p>
        </w:tc>
        <w:tc>
          <w:tcPr>
            <w:tcW w:type="dxa" w:w="424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Inventory remains idle; a later discount may be needed to clear it.</w:t>
            </w:r>
          </w:p>
        </w:tc>
      </w:tr>
      <w:tr>
        <w:trPr>
          <w:cantSplit/>
        </w:trPr>
        <w:tc>
          <w:tcPr>
            <w:tcW w:type="dxa" w:w="172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Stockouts</w:t>
            </w:r>
          </w:p>
        </w:tc>
        <w:tc>
          <w:tcPr>
            <w:tcW w:type="dxa" w:w="388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A popular item sells out before the next delivery arrives.</w:t>
            </w:r>
          </w:p>
        </w:tc>
        <w:tc>
          <w:tcPr>
            <w:tcW w:type="dxa" w:w="424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Lost sales, substitution, or a customer taking the purchase elsewhere.</w:t>
            </w:r>
          </w:p>
        </w:tc>
      </w:tr>
      <w:tr>
        <w:trPr>
          <w:cantSplit/>
        </w:trPr>
        <w:tc>
          <w:tcPr>
            <w:tcW w:type="dxa" w:w="172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Expiry and spoilage risk</w:t>
            </w:r>
          </w:p>
        </w:tc>
        <w:tc>
          <w:tcPr>
            <w:tcW w:type="dxa" w:w="388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Expiry dates, quantities by batch, and expected sales are not considered together.</w:t>
            </w:r>
          </w:p>
        </w:tc>
        <w:tc>
          <w:tcPr>
            <w:tcW w:type="dxa" w:w="424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Products may expire before they are sold, especially in perishable categories.</w:t>
            </w:r>
          </w:p>
        </w:tc>
      </w:tr>
      <w:tr>
        <w:trPr>
          <w:cantSplit/>
        </w:trPr>
        <w:tc>
          <w:tcPr>
            <w:tcW w:type="dxa" w:w="172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Fragmented records</w:t>
            </w:r>
          </w:p>
        </w:tc>
        <w:tc>
          <w:tcPr>
            <w:tcW w:type="dxa" w:w="388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Sales, purchases, costs, stock adjustments, and supplier information are held in different places.</w:t>
            </w:r>
          </w:p>
        </w:tc>
        <w:tc>
          <w:tcPr>
            <w:tcW w:type="dxa" w:w="424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The owner spends time reconciling data before making a decision.</w:t>
            </w:r>
          </w:p>
        </w:tc>
      </w:tr>
      <w:tr>
        <w:trPr>
          <w:cantSplit/>
        </w:trPr>
        <w:tc>
          <w:tcPr>
            <w:tcW w:type="dxa" w:w="172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Report overload</w:t>
            </w:r>
          </w:p>
        </w:tc>
        <w:tc>
          <w:tcPr>
            <w:tcW w:type="dxa" w:w="388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Software provides transaction reports, but the owner still has to interpret what to do.</w:t>
            </w:r>
          </w:p>
        </w:tc>
        <w:tc>
          <w:tcPr>
            <w:tcW w:type="dxa" w:w="424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Useful evidence may not translate into a timely action.</w:t>
            </w:r>
          </w:p>
        </w:tc>
      </w:tr>
      <w:tr>
        <w:trPr>
          <w:cantSplit/>
        </w:trPr>
        <w:tc>
          <w:tcPr>
            <w:tcW w:type="dxa" w:w="172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Limited time and expertise</w:t>
            </w:r>
          </w:p>
        </w:tc>
        <w:tc>
          <w:tcPr>
            <w:tcW w:type="dxa" w:w="388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The owner manages purchasing, staff, customers, suppliers, and accounts.</w:t>
            </w:r>
          </w:p>
        </w:tc>
        <w:tc>
          <w:tcPr>
            <w:tcW w:type="dxa" w:w="424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Detailed analysis competes with everyday store operations.</w:t>
            </w:r>
          </w:p>
        </w:tc>
      </w:tr>
    </w:tbl>
    <w:p>
      <w:pPr>
        <w:spacing w:after="20"/>
      </w:pPr>
    </w:p>
    <w:p>
      <w:r>
        <w:t>A 2025 NITI Aayog report includes a section on kirana-store workers. It describes uneven adoption of digital tools, the continued use of manual stock-taking in some settings, and the risks of stockouts and overstocking. The report cites a study stating that 60% of kiranas lack systematic inventory control, with associated lost sales and spoilage costs. This statistic should be treated as a cited study reported by NITI Aayog, not as a current census of every Indian retailer. [1]</w:t>
      </w:r>
    </w:p>
    <w:p>
      <w:pPr>
        <w:pStyle w:val="Heading1"/>
      </w:pPr>
      <w:r>
        <w:t>3. Intended audience and user roles</w:t>
      </w:r>
    </w:p>
    <w:tbl>
      <w:tblPr>
        <w:tblW w:type="auto" w:w="0"/>
        <w:jc w:val="center"/>
        <w:tblLayout w:type="fixed"/>
        <w:tblLook w:firstColumn="1" w:firstRow="1" w:lastColumn="0" w:lastRow="0" w:noHBand="0" w:noVBand="1" w:val="04A0"/>
      </w:tblPr>
      <w:tblGrid>
        <w:gridCol w:w="2376"/>
        <w:gridCol w:w="3456"/>
        <w:gridCol w:w="4032"/>
      </w:tblGrid>
      <w:tr>
        <w:trPr>
          <w:tblHeader w:val="true"/>
          <w:cantSplit/>
        </w:trPr>
        <w:tc>
          <w:tcPr>
            <w:tcW w:type="dxa" w:w="2376"/>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6"/>
              </w:rPr>
              <w:t>User group</w:t>
            </w:r>
          </w:p>
        </w:tc>
        <w:tc>
          <w:tcPr>
            <w:tcW w:type="dxa" w:w="3456"/>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6"/>
              </w:rPr>
              <w:t>Primary needs</w:t>
            </w:r>
          </w:p>
        </w:tc>
        <w:tc>
          <w:tcPr>
            <w:tcW w:type="dxa" w:w="4032"/>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6"/>
              </w:rPr>
              <w:t>How RetailPulse could help</w:t>
            </w:r>
          </w:p>
        </w:tc>
      </w:tr>
      <w:tr>
        <w:trPr>
          <w:cantSplit/>
        </w:trPr>
        <w:tc>
          <w:tcPr>
            <w:tcW w:type="dxa" w:w="237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Independent grocery / kirana owner</w:t>
            </w:r>
          </w:p>
        </w:tc>
        <w:tc>
          <w:tcPr>
            <w:tcW w:type="dxa" w:w="345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Understand the business quickly; control spending; avoid missing essential products.</w:t>
            </w:r>
          </w:p>
        </w:tc>
        <w:tc>
          <w:tcPr>
            <w:tcW w:type="dxa" w:w="403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A daily or weekly action summary, simple charts, low-stock risks, and suggested purchases.</w:t>
            </w:r>
          </w:p>
        </w:tc>
      </w:tr>
      <w:tr>
        <w:trPr>
          <w:cantSplit/>
        </w:trPr>
        <w:tc>
          <w:tcPr>
            <w:tcW w:type="dxa" w:w="2376"/>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Small-supermarket owner or manager</w:t>
            </w:r>
          </w:p>
        </w:tc>
        <w:tc>
          <w:tcPr>
            <w:tcW w:type="dxa" w:w="3456"/>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Manage many products and categories consistently.</w:t>
            </w:r>
          </w:p>
        </w:tc>
        <w:tc>
          <w:tcPr>
            <w:tcW w:type="dxa" w:w="403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Product/category comparisons, demand trends, slow-moving stock analysis, and configurable alerts.</w:t>
            </w:r>
          </w:p>
        </w:tc>
      </w:tr>
      <w:tr>
        <w:trPr>
          <w:cantSplit/>
        </w:trPr>
        <w:tc>
          <w:tcPr>
            <w:tcW w:type="dxa" w:w="237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Purchasing or inventory manager</w:t>
            </w:r>
          </w:p>
        </w:tc>
        <w:tc>
          <w:tcPr>
            <w:tcW w:type="dxa" w:w="345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Prepare an order across many SKUs and suppliers.</w:t>
            </w:r>
          </w:p>
        </w:tc>
        <w:tc>
          <w:tcPr>
            <w:tcW w:type="dxa" w:w="403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Demand estimates, stock coverage, incoming-order visibility, and reviewable reorder suggestions.</w:t>
            </w:r>
          </w:p>
        </w:tc>
      </w:tr>
      <w:tr>
        <w:trPr>
          <w:cantSplit/>
        </w:trPr>
        <w:tc>
          <w:tcPr>
            <w:tcW w:type="dxa" w:w="2376"/>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Store or operations supervisor</w:t>
            </w:r>
          </w:p>
        </w:tc>
        <w:tc>
          <w:tcPr>
            <w:tcW w:type="dxa" w:w="3456"/>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Identify unusual sales, stock adjustments, and category issues.</w:t>
            </w:r>
          </w:p>
        </w:tc>
        <w:tc>
          <w:tcPr>
            <w:tcW w:type="dxa" w:w="403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Exceptions, stock movement trends, and store-level performance summaries.</w:t>
            </w:r>
          </w:p>
        </w:tc>
      </w:tr>
      <w:tr>
        <w:trPr>
          <w:cantSplit/>
        </w:trPr>
        <w:tc>
          <w:tcPr>
            <w:tcW w:type="dxa" w:w="237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Accountant or bookkeeper</w:t>
            </w:r>
          </w:p>
        </w:tc>
        <w:tc>
          <w:tcPr>
            <w:tcW w:type="dxa" w:w="345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Reconcile sales, costs, purchase values, and period reports.</w:t>
            </w:r>
          </w:p>
        </w:tc>
        <w:tc>
          <w:tcPr>
            <w:tcW w:type="dxa" w:w="403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Clearer sales and margin summaries, subject to accurate cost and transaction data.</w:t>
            </w:r>
          </w:p>
        </w:tc>
      </w:tr>
      <w:tr>
        <w:trPr>
          <w:cantSplit/>
        </w:trPr>
        <w:tc>
          <w:tcPr>
            <w:tcW w:type="dxa" w:w="2376"/>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Regional manager of a small chain</w:t>
            </w:r>
          </w:p>
        </w:tc>
        <w:tc>
          <w:tcPr>
            <w:tcW w:type="dxa" w:w="3456"/>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Compare branches and allocate stock between locations.</w:t>
            </w:r>
          </w:p>
        </w:tc>
        <w:tc>
          <w:tcPr>
            <w:tcW w:type="dxa" w:w="403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Branch comparisons and potential transfer opportunities, if multi-store data is available.</w:t>
            </w:r>
          </w:p>
        </w:tc>
      </w:tr>
    </w:tbl>
    <w:p>
      <w:pPr>
        <w:spacing w:after="20"/>
      </w:pPr>
    </w:p>
    <w:p>
      <w:r>
        <w:t>The primary initial audience is independent grocery retailers and small supermarkets. Large hypermarket chains are not the initial target because they may already operate sophisticated enterprise retail systems and have more complex integration and procurement requirements.</w:t>
      </w:r>
    </w:p>
    <w:p>
      <w:pPr>
        <w:pStyle w:val="Heading1"/>
      </w:pPr>
      <w:r>
        <w:t>4. Product goals and guiding principles</w:t>
      </w:r>
    </w:p>
    <w:p>
      <w:pPr>
        <w:pStyle w:val="ListBullet"/>
        <w:spacing w:after="50"/>
        <w:ind w:left="360" w:hanging="216"/>
      </w:pPr>
      <w:r>
        <w:t>Turn historical records into understandable answers rather than presenting charts without context.</w:t>
      </w:r>
    </w:p>
    <w:p>
      <w:pPr>
        <w:pStyle w:val="ListBullet"/>
        <w:spacing w:after="50"/>
        <w:ind w:left="360" w:hanging="216"/>
      </w:pPr>
      <w:r>
        <w:t>Reduce avoidable inventory mistakes without pretending that a forecast is certain.</w:t>
      </w:r>
    </w:p>
    <w:p>
      <w:pPr>
        <w:pStyle w:val="ListBullet"/>
        <w:spacing w:after="50"/>
        <w:ind w:left="360" w:hanging="216"/>
      </w:pPr>
      <w:r>
        <w:t>Make recommendations explainable: show which sales, stock, lead-time, or expiry inputs influenced an action.</w:t>
      </w:r>
    </w:p>
    <w:p>
      <w:pPr>
        <w:pStyle w:val="ListBullet"/>
        <w:spacing w:after="50"/>
        <w:ind w:left="360" w:hanging="216"/>
      </w:pPr>
      <w:r>
        <w:t>Respect the owner’s knowledge. Suggestions should be reviewed and adjustable, not blindly executed.</w:t>
      </w:r>
    </w:p>
    <w:p>
      <w:pPr>
        <w:pStyle w:val="ListBullet"/>
        <w:spacing w:after="50"/>
        <w:ind w:left="360" w:hanging="216"/>
      </w:pPr>
      <w:r>
        <w:t>Work with the data the retailer already has where possible, and clearly identify data that is missing.</w:t>
      </w:r>
    </w:p>
    <w:p>
      <w:pPr>
        <w:pStyle w:val="ListBullet"/>
        <w:spacing w:after="50"/>
        <w:ind w:left="360" w:hanging="216"/>
      </w:pPr>
      <w:r>
        <w:t>Keep the interface accessible to non-technical users and avoid requiring knowledge of statistics or machine learning.</w:t>
      </w:r>
    </w:p>
    <w:p>
      <w:pPr>
        <w:pStyle w:val="Heading1"/>
      </w:pPr>
      <w:r>
        <w:t>5. Proposed product features</w:t>
      </w:r>
    </w:p>
    <w:p>
      <w:pPr>
        <w:pStyle w:val="Heading2"/>
      </w:pPr>
      <w:r>
        <w:t>5.1 Sales and business performance</w:t>
      </w:r>
    </w:p>
    <w:p>
      <w:r>
        <w:t>This feature explains past performance using daily, weekly, and monthly summaries. It can present revenue, units sold, gross profit where product costs are available, and comparisons by product or category. It should distinguish revenue from profit: a high-revenue item is not necessarily the item that contributes the most gross profit.</w:t>
      </w:r>
    </w:p>
    <w:p>
      <w:pPr>
        <w:pStyle w:val="ListBullet"/>
        <w:spacing w:after="50"/>
        <w:ind w:left="360" w:hanging="216"/>
      </w:pPr>
      <w:r>
        <w:t>Top products by units sold, revenue, and gross profit (when cost data exists).</w:t>
      </w:r>
    </w:p>
    <w:p>
      <w:pPr>
        <w:pStyle w:val="ListBullet"/>
        <w:spacing w:after="50"/>
        <w:ind w:left="360" w:hanging="216"/>
      </w:pPr>
      <w:r>
        <w:t>Daily and weekly sales trends, product-category comparisons, and period-over-period changes.</w:t>
      </w:r>
    </w:p>
    <w:p>
      <w:pPr>
        <w:pStyle w:val="ListBullet"/>
        <w:spacing w:after="50"/>
        <w:ind w:left="360" w:hanging="216"/>
      </w:pPr>
      <w:r>
        <w:t>Alerts for unusual movement or a meaningful change in sales, with the underlying figures visible.</w:t>
      </w:r>
    </w:p>
    <w:p>
      <w:pPr>
        <w:pStyle w:val="Heading2"/>
      </w:pPr>
      <w:r>
        <w:t>5.2 Product movement and inventory health</w:t>
      </w:r>
    </w:p>
    <w:p>
      <w:r>
        <w:t>RetailPulse can classify products by their observed sales velocity and stock position. These classifications should be context-sensitive: a product that is purchased infrequently may still be necessary and should not automatically be labelled as dead stock.</w:t>
      </w:r>
    </w:p>
    <w:p>
      <w:pPr>
        <w:pStyle w:val="ListBullet"/>
        <w:spacing w:after="50"/>
        <w:ind w:left="360" w:hanging="216"/>
      </w:pPr>
      <w:r>
        <w:t>Fast-moving, stable-moving, slow-moving, and non-moving product views.</w:t>
      </w:r>
    </w:p>
    <w:p>
      <w:pPr>
        <w:pStyle w:val="ListBullet"/>
        <w:spacing w:after="50"/>
        <w:ind w:left="360" w:hanging="216"/>
      </w:pPr>
      <w:r>
        <w:t>Current stock, incoming stock, stock adjustments, and estimated days of stock coverage, where data permits.</w:t>
      </w:r>
    </w:p>
    <w:p>
      <w:pPr>
        <w:pStyle w:val="ListBullet"/>
        <w:spacing w:after="50"/>
        <w:ind w:left="360" w:hanging="216"/>
      </w:pPr>
      <w:r>
        <w:t>A review list for products with high stock relative to recent and forecast demand.</w:t>
      </w:r>
    </w:p>
    <w:p>
      <w:pPr>
        <w:pStyle w:val="Heading2"/>
      </w:pPr>
      <w:r>
        <w:t>5.3 Demand forecasting</w:t>
      </w:r>
    </w:p>
    <w:p>
      <w:r>
        <w:t>The forecasting feature estimates expected sales for a future period such as the next seven days. It can consider past product sales, weekday patterns, seasonal effects, promotions, and other context only when these variables are available and reliable. Forecasts should be accompanied by evaluation metrics and, where possible, a prediction range. Products with little or irregular history should receive a simpler baseline estimate or a clear “insufficient history” notice.</w:t>
      </w:r>
    </w:p>
    <w:p>
      <w:pPr>
        <w:pStyle w:val="Heading2"/>
      </w:pPr>
      <w:r>
        <w:t>5.4 Explainable reorder recommendations</w:t>
      </w:r>
    </w:p>
    <w:p>
      <w:r>
        <w:t>The platform combines expected demand with stock currently available, incoming orders, supplier lead time, and a safety-stock policy to calculate a suggested order quantity. Minimum order quantities, case-pack sizes, budget limits, and supplier constraints can be incorporated as the product matures.</w:t>
      </w:r>
    </w:p>
    <w:tbl>
      <w:tblPr>
        <w:tblW w:type="auto" w:w="0"/>
        <w:jc w:val="center"/>
        <w:tblLayout w:type="fixed"/>
        <w:tblLook w:firstColumn="1" w:firstRow="1" w:lastColumn="0" w:lastRow="0" w:noHBand="0" w:noVBand="1" w:val="04A0"/>
      </w:tblPr>
      <w:tblGrid>
        <w:gridCol w:w="9864"/>
      </w:tblGrid>
      <w:tr>
        <w:trPr>
          <w:cantSplit/>
        </w:trPr>
        <w:tc>
          <w:tcPr>
            <w:tcW w:type="dxa" w:w="9994"/>
            <w:shd w:fill="EAF3F6"/>
            <w:tcMar>
              <w:top w:w="130" w:type="dxa"/>
              <w:start w:w="170" w:type="dxa"/>
              <w:bottom w:w="130" w:type="dxa"/>
              <w:end w:w="170" w:type="dxa"/>
            </w:tcMar>
            <w:tcBorders>
              <w:top w:val="single" w:sz="4" w:color="D6E0E5"/>
              <w:start w:val="single" w:sz="22" w:color="0E8F8F"/>
              <w:bottom w:val="single" w:sz="4" w:color="D6E0E5"/>
              <w:end w:val="single" w:sz="4" w:color="D6E0E5"/>
            </w:tcBorders>
          </w:tcPr>
          <w:p>
            <w:pPr>
              <w:spacing w:after="0"/>
            </w:pPr>
            <w:r>
              <w:rPr>
                <w:b/>
                <w:color w:val="0E8F8F"/>
              </w:rPr>
              <w:t xml:space="preserve">ILLUSTRATIVE EXAMPLE  </w:t>
            </w:r>
            <w:r>
              <w:t>If forecast demand during the planning period is 100 units, the desired safety stock is 15 units, available stock is 40 units, and no replenishment is already incoming, the simplified suggested order is 75 units. Real recommendations would need lead times, pack sizes, stock accuracy, and other constraints.</w:t>
            </w:r>
          </w:p>
        </w:tc>
      </w:tr>
    </w:tbl>
    <w:p>
      <w:pPr>
        <w:spacing w:after="20"/>
      </w:pPr>
    </w:p>
    <w:p>
      <w:pPr>
        <w:pStyle w:val="Heading2"/>
      </w:pPr>
      <w:r>
        <w:t>5.5 Expiry and waste-risk monitoring</w:t>
      </w:r>
    </w:p>
    <w:p>
      <w:r>
        <w:t>For goods tracked by batch and expiry date, the system can compare the quantity remaining with expected sales before expiry. It may flag batches for review and suggest practical actions such as stock rotation, pausing the next purchase, or evaluating an authorised promotion. It must not claim to detect expiry accurately when batch quantities and expiry dates are absent.</w:t>
      </w:r>
    </w:p>
    <w:p>
      <w:pPr>
        <w:pStyle w:val="Heading2"/>
      </w:pPr>
      <w:r>
        <w:t>5.6 Natural-language business assistant (later-stage feature)</w:t>
      </w:r>
    </w:p>
    <w:p>
      <w:r>
        <w:t>A conversational interface could let a store owner ask questions such as “Which products should I review before the next purchase?” or “Why did gross profit fall this month?” Answers should be based on calculated business measures and identified evidence; the assistant should not invent explanations when the data is insufficient.</w:t>
      </w:r>
    </w:p>
    <w:p>
      <w:pPr>
        <w:pStyle w:val="Heading2"/>
      </w:pPr>
      <w:r>
        <w:t>5.7 Purchase planning and budget awareness (later-stage feature)</w:t>
      </w:r>
    </w:p>
    <w:p>
      <w:r>
        <w:t>A future version could help allocate a limited purchasing budget across products while considering stockout risk, margin, expected demand, expiry, supplier lead times, and minimum order quantities. The purpose is not merely to recommend more stock, but to make trade-offs explicit.</w:t>
      </w:r>
    </w:p>
    <w:p>
      <w:pPr>
        <w:pStyle w:val="Heading1"/>
      </w:pPr>
      <w:r>
        <w:t>6. How a user would experience the product</w:t>
      </w:r>
    </w:p>
    <w:tbl>
      <w:tblPr>
        <w:tblW w:type="auto" w:w="0"/>
        <w:jc w:val="center"/>
        <w:tblLayout w:type="fixed"/>
        <w:tblLook w:firstColumn="1" w:firstRow="1" w:lastColumn="0" w:lastRow="0" w:noHBand="0" w:noVBand="1" w:val="04A0"/>
      </w:tblPr>
      <w:tblGrid>
        <w:gridCol w:w="1584"/>
        <w:gridCol w:w="4464"/>
        <w:gridCol w:w="3816"/>
      </w:tblGrid>
      <w:tr>
        <w:trPr>
          <w:tblHeader w:val="true"/>
          <w:cantSplit/>
        </w:trPr>
        <w:tc>
          <w:tcPr>
            <w:tcW w:type="dxa" w:w="1584"/>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6"/>
              </w:rPr>
              <w:t>Step</w:t>
            </w:r>
          </w:p>
        </w:tc>
        <w:tc>
          <w:tcPr>
            <w:tcW w:type="dxa" w:w="4464"/>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6"/>
              </w:rPr>
              <w:t>User action / system response</w:t>
            </w:r>
          </w:p>
        </w:tc>
        <w:tc>
          <w:tcPr>
            <w:tcW w:type="dxa" w:w="3816"/>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6"/>
              </w:rPr>
              <w:t>Outcome</w:t>
            </w:r>
          </w:p>
        </w:tc>
      </w:tr>
      <w:tr>
        <w:trPr>
          <w:cantSplit/>
        </w:trPr>
        <w:tc>
          <w:tcPr>
            <w:tcW w:type="dxa" w:w="158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1. Bring in records</w:t>
            </w:r>
          </w:p>
        </w:tc>
        <w:tc>
          <w:tcPr>
            <w:tcW w:type="dxa" w:w="446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The owner provides sales, purchase, and inventory records in supported formats or through an available connection.</w:t>
            </w:r>
          </w:p>
        </w:tc>
        <w:tc>
          <w:tcPr>
            <w:tcW w:type="dxa" w:w="381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The system checks whether the fields are complete and understandable.</w:t>
            </w:r>
          </w:p>
        </w:tc>
      </w:tr>
      <w:tr>
        <w:trPr>
          <w:cantSplit/>
        </w:trPr>
        <w:tc>
          <w:tcPr>
            <w:tcW w:type="dxa" w:w="158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2. Review data quality</w:t>
            </w:r>
          </w:p>
        </w:tc>
        <w:tc>
          <w:tcPr>
            <w:tcW w:type="dxa" w:w="446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The owner sees duplicate, missing, inconsistent, or unmatched records that need attention.</w:t>
            </w:r>
          </w:p>
        </w:tc>
        <w:tc>
          <w:tcPr>
            <w:tcW w:type="dxa" w:w="3816"/>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The analysis is less likely to be based on silently incorrect data.</w:t>
            </w:r>
          </w:p>
        </w:tc>
      </w:tr>
      <w:tr>
        <w:trPr>
          <w:cantSplit/>
        </w:trPr>
        <w:tc>
          <w:tcPr>
            <w:tcW w:type="dxa" w:w="158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3. View business position</w:t>
            </w:r>
          </w:p>
        </w:tc>
        <w:tc>
          <w:tcPr>
            <w:tcW w:type="dxa" w:w="446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The owner opens a summary of performance, fast and slow movers, and stock status.</w:t>
            </w:r>
          </w:p>
        </w:tc>
        <w:tc>
          <w:tcPr>
            <w:tcW w:type="dxa" w:w="381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The owner sees what happened and where to investigate.</w:t>
            </w:r>
          </w:p>
        </w:tc>
      </w:tr>
      <w:tr>
        <w:trPr>
          <w:cantSplit/>
        </w:trPr>
        <w:tc>
          <w:tcPr>
            <w:tcW w:type="dxa" w:w="158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4. Inspect the forecast</w:t>
            </w:r>
          </w:p>
        </w:tc>
        <w:tc>
          <w:tcPr>
            <w:tcW w:type="dxa" w:w="446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The owner selects a product or category to compare historical sales with predicted demand.</w:t>
            </w:r>
          </w:p>
        </w:tc>
        <w:tc>
          <w:tcPr>
            <w:tcW w:type="dxa" w:w="3816"/>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The owner sees both the prediction and how it has performed in testing.</w:t>
            </w:r>
          </w:p>
        </w:tc>
      </w:tr>
      <w:tr>
        <w:trPr>
          <w:cantSplit/>
        </w:trPr>
        <w:tc>
          <w:tcPr>
            <w:tcW w:type="dxa" w:w="158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5. Review suggested actions</w:t>
            </w:r>
          </w:p>
        </w:tc>
        <w:tc>
          <w:tcPr>
            <w:tcW w:type="dxa" w:w="446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The system lists products to reorder or review, along with reasons and relevant inputs.</w:t>
            </w:r>
          </w:p>
        </w:tc>
        <w:tc>
          <w:tcPr>
            <w:tcW w:type="dxa" w:w="381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The owner can approve, edit, defer, or reject a suggestion.</w:t>
            </w:r>
          </w:p>
        </w:tc>
      </w:tr>
      <w:tr>
        <w:trPr>
          <w:cantSplit/>
        </w:trPr>
        <w:tc>
          <w:tcPr>
            <w:tcW w:type="dxa" w:w="158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6. Learn from outcomes</w:t>
            </w:r>
          </w:p>
        </w:tc>
        <w:tc>
          <w:tcPr>
            <w:tcW w:type="dxa" w:w="446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Actual demand, received stock, and owner overrides can be recorded for later evaluation.</w:t>
            </w:r>
          </w:p>
        </w:tc>
        <w:tc>
          <w:tcPr>
            <w:tcW w:type="dxa" w:w="3816"/>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Recommendations can be assessed and refined over time.</w:t>
            </w:r>
          </w:p>
        </w:tc>
      </w:tr>
    </w:tbl>
    <w:p>
      <w:pPr>
        <w:spacing w:after="20"/>
      </w:pPr>
    </w:p>
    <w:p>
      <w:pPr>
        <w:pStyle w:val="Heading1"/>
      </w:pPr>
      <w:r>
        <w:t>7. Existing products and how retailers are already served</w:t>
      </w:r>
    </w:p>
    <w:p>
      <w:r>
        <w:t>RetailPulse would enter a market that already has point-of-sale, billing, accounting, and retail-management software. The product concept must therefore be evaluated against existing capabilities, not described as if billing, stock reports, expiry alerts, or reorder workflows were completely new. The following examples are based on public product pages published by vendors; these pages demonstrate advertised capabilities, not an independent comparison of actual performance or market share.</w:t>
      </w:r>
    </w:p>
    <w:p>
      <w:pPr>
        <w:pStyle w:val="Heading2"/>
      </w:pPr>
      <w:r>
        <w:t>How retailers commonly handle the workflow today</w:t>
      </w:r>
    </w:p>
    <w:p>
      <w:r>
        <w:t>In a digitally equipped store, the checkout system records the sale and may automatically reduce the item’s recorded stock. Purchase and supplier records are then entered or imported, and the owner or purchasing manager reviews sales, stock levels, reorder points, and reports before creating a purchase order. More advanced retail products can automate portions of replenishment and can track batches or expiry dates. In less digitalised stores, some of the same work may be handled through spreadsheets, paper invoices, manual stock counts, or the owner’s experience. The balance between automation and manual review varies by store and product; it would be inaccurate to assume every retailer follows the same workflow. [2–5]</w:t>
      </w:r>
    </w:p>
    <w:p>
      <w:pPr>
        <w:pStyle w:val="Heading2"/>
      </w:pPr>
      <w:r>
        <w:t>7.1 GoFrugal</w:t>
      </w:r>
    </w:p>
    <w:p>
      <w:r>
        <w:t>GoFrugal advertises retail features including fast billing, inventory, purchase and reorder, business intelligence, integrated accounting, procurement, warehousing, supply-chain management, cloud POS, and integrations. Its retail features page also describes AI-supported purchasing and demand forecasting for replenishment. This means a generic sales dashboard or an unqualified claim of AI-based reordering is not a sufficient point of differentiation. [2]</w:t>
      </w:r>
    </w:p>
    <w:p>
      <w:pPr>
        <w:pStyle w:val="Heading2"/>
      </w:pPr>
      <w:r>
        <w:t>7.2 Ginesys</w:t>
      </w:r>
    </w:p>
    <w:p>
      <w:r>
        <w:t>Ginesys describes supermarket software that covers procurement, inventory, replenishment, reporting, warehouse operations, and business intelligence. Its published description says replenishment logic can use sell-through rates at item and category level, with business-defined rules. It also describes integrations with other retail systems. [3]</w:t>
      </w:r>
    </w:p>
    <w:p>
      <w:pPr>
        <w:pStyle w:val="Heading2"/>
      </w:pPr>
      <w:r>
        <w:t>7.3 Marg ERP</w:t>
      </w:r>
    </w:p>
    <w:p>
      <w:r>
        <w:t>Marg’s supermarket and retail product pages advertise billing, GST-related workflows, barcode support, stock management, reorder management, expiry management, and reports on fast- and slow-moving items. These are relevant adjacent capabilities that a new product must investigate before claiming a gap. [4]</w:t>
      </w:r>
    </w:p>
    <w:p>
      <w:pPr>
        <w:pStyle w:val="Heading2"/>
      </w:pPr>
      <w:r>
        <w:t>7.4 Vyapar</w:t>
      </w:r>
    </w:p>
    <w:p>
      <w:r>
        <w:t>Vyapar markets billing, inventory, GST reporting, purchase and sales orders, stock alerts, expiry/batch tracking, and business reports for small businesses. It is relevant to smaller shop owners who may want straightforward business tools rather than enterprise-scale retail software. [5]</w:t>
      </w:r>
    </w:p>
    <w:tbl>
      <w:tblPr>
        <w:tblW w:type="auto" w:w="0"/>
        <w:jc w:val="center"/>
        <w:tblLayout w:type="fixed"/>
        <w:tblLook w:firstColumn="1" w:firstRow="1" w:lastColumn="0" w:lastRow="0" w:noHBand="0" w:noVBand="1" w:val="04A0"/>
      </w:tblPr>
      <w:tblGrid>
        <w:gridCol w:w="9864"/>
      </w:tblGrid>
      <w:tr>
        <w:trPr>
          <w:cantSplit/>
        </w:trPr>
        <w:tc>
          <w:tcPr>
            <w:tcW w:type="dxa" w:w="9994"/>
            <w:shd w:fill="FFF4EA"/>
            <w:tcMar>
              <w:top w:w="130" w:type="dxa"/>
              <w:start w:w="170" w:type="dxa"/>
              <w:bottom w:w="130" w:type="dxa"/>
              <w:end w:w="170" w:type="dxa"/>
            </w:tcMar>
            <w:tcBorders>
              <w:top w:val="single" w:sz="4" w:color="D6E0E5"/>
              <w:start w:val="single" w:sz="22" w:color="D9824A"/>
              <w:bottom w:val="single" w:sz="4" w:color="D6E0E5"/>
              <w:end w:val="single" w:sz="4" w:color="D6E0E5"/>
            </w:tcBorders>
          </w:tcPr>
          <w:p>
            <w:pPr>
              <w:spacing w:after="0"/>
            </w:pPr>
            <w:r>
              <w:rPr>
                <w:b/>
                <w:color w:val="D9824A"/>
              </w:rPr>
              <w:t xml:space="preserve">MARKET-RESEARCH CAVEAT  </w:t>
            </w:r>
            <w:r>
              <w:t>These public pages do not establish which product is used by “most” Indian supermarkets. No comprehensive market-share evidence was identified in this research. They are examples of available alternatives and advertised functions, not a verified national adoption ranking.</w:t>
            </w:r>
          </w:p>
        </w:tc>
      </w:tr>
    </w:tbl>
    <w:p>
      <w:pPr>
        <w:spacing w:after="20"/>
      </w:pPr>
    </w:p>
    <w:p>
      <w:pPr>
        <w:pStyle w:val="Heading1"/>
      </w:pPr>
      <w:r>
        <w:t>8. Where RetailPulse could differentiate</w:t>
      </w:r>
    </w:p>
    <w:p>
      <w:r>
        <w:t>Because existing products already advertise many core retail features, the following are hypotheses to validate with store owners—not proven gaps in the market.</w:t>
      </w:r>
    </w:p>
    <w:tbl>
      <w:tblPr>
        <w:tblW w:type="auto" w:w="0"/>
        <w:jc w:val="center"/>
        <w:tblLayout w:type="fixed"/>
        <w:tblLook w:firstColumn="1" w:firstRow="1" w:lastColumn="0" w:lastRow="0" w:noHBand="0" w:noVBand="1" w:val="04A0"/>
      </w:tblPr>
      <w:tblGrid>
        <w:gridCol w:w="2376"/>
        <w:gridCol w:w="3528"/>
        <w:gridCol w:w="3960"/>
      </w:tblGrid>
      <w:tr>
        <w:trPr>
          <w:tblHeader w:val="true"/>
          <w:cantSplit/>
        </w:trPr>
        <w:tc>
          <w:tcPr>
            <w:tcW w:type="dxa" w:w="2376"/>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Differentiation hypothesis</w:t>
            </w:r>
          </w:p>
        </w:tc>
        <w:tc>
          <w:tcPr>
            <w:tcW w:type="dxa" w:w="3528"/>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Why it may matter</w:t>
            </w:r>
          </w:p>
        </w:tc>
        <w:tc>
          <w:tcPr>
            <w:tcW w:type="dxa" w:w="3960"/>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How to validate</w:t>
            </w:r>
          </w:p>
        </w:tc>
      </w:tr>
      <w:tr>
        <w:trPr>
          <w:cantSplit/>
        </w:trPr>
        <w:tc>
          <w:tcPr>
            <w:tcW w:type="dxa" w:w="237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Works with existing records</w:t>
            </w:r>
          </w:p>
        </w:tc>
        <w:tc>
          <w:tcPr>
            <w:tcW w:type="dxa" w:w="352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Owners may not want to replace their current billing system.</w:t>
            </w:r>
          </w:p>
        </w:tc>
        <w:tc>
          <w:tcPr>
            <w:tcW w:type="dxa" w:w="396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Ask owners what exports are available and test a small anonymised sample.</w:t>
            </w:r>
          </w:p>
        </w:tc>
      </w:tr>
      <w:tr>
        <w:trPr>
          <w:cantSplit/>
        </w:trPr>
        <w:tc>
          <w:tcPr>
            <w:tcW w:type="dxa" w:w="2376"/>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Clear explanations, not just charts</w:t>
            </w:r>
          </w:p>
        </w:tc>
        <w:tc>
          <w:tcPr>
            <w:tcW w:type="dxa" w:w="352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A recommendation is easier to trust when the reason is visible.</w:t>
            </w:r>
          </w:p>
        </w:tc>
        <w:tc>
          <w:tcPr>
            <w:tcW w:type="dxa" w:w="396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Observe whether owners can interpret and act on generated explanations.</w:t>
            </w:r>
          </w:p>
        </w:tc>
      </w:tr>
      <w:tr>
        <w:trPr>
          <w:cantSplit/>
        </w:trPr>
        <w:tc>
          <w:tcPr>
            <w:tcW w:type="dxa" w:w="237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Budget-aware purchasing</w:t>
            </w:r>
          </w:p>
        </w:tc>
        <w:tc>
          <w:tcPr>
            <w:tcW w:type="dxa" w:w="352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A store may have many suggested reorders but limited cash available.</w:t>
            </w:r>
          </w:p>
        </w:tc>
        <w:tc>
          <w:tcPr>
            <w:tcW w:type="dxa" w:w="396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Compare recommendations with an owner’s actual purchasing priorities.</w:t>
            </w:r>
          </w:p>
        </w:tc>
      </w:tr>
      <w:tr>
        <w:trPr>
          <w:cantSplit/>
        </w:trPr>
        <w:tc>
          <w:tcPr>
            <w:tcW w:type="dxa" w:w="2376"/>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Data quality support</w:t>
            </w:r>
          </w:p>
        </w:tc>
        <w:tc>
          <w:tcPr>
            <w:tcW w:type="dxa" w:w="352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Unmatched product names and missing fields can undermine analysis.</w:t>
            </w:r>
          </w:p>
        </w:tc>
        <w:tc>
          <w:tcPr>
            <w:tcW w:type="dxa" w:w="396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Measure how often the product needs manual correction during onboarding.</w:t>
            </w:r>
          </w:p>
        </w:tc>
      </w:tr>
      <w:tr>
        <w:trPr>
          <w:cantSplit/>
        </w:trPr>
        <w:tc>
          <w:tcPr>
            <w:tcW w:type="dxa" w:w="237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Simple owner-oriented workflow</w:t>
            </w:r>
          </w:p>
        </w:tc>
        <w:tc>
          <w:tcPr>
            <w:tcW w:type="dxa" w:w="352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A time-constrained owner may prefer a short action list to complex reporting.</w:t>
            </w:r>
          </w:p>
        </w:tc>
        <w:tc>
          <w:tcPr>
            <w:tcW w:type="dxa" w:w="396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Measure time required to reach a purchase decision, and gather usability feedback.</w:t>
            </w:r>
          </w:p>
        </w:tc>
      </w:tr>
      <w:tr>
        <w:trPr>
          <w:cantSplit/>
        </w:trPr>
        <w:tc>
          <w:tcPr>
            <w:tcW w:type="dxa" w:w="2376"/>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Transparent forecast performance</w:t>
            </w:r>
          </w:p>
        </w:tc>
        <w:tc>
          <w:tcPr>
            <w:tcW w:type="dxa" w:w="352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Owners need to know whether a model adds value over a simple rule.</w:t>
            </w:r>
          </w:p>
        </w:tc>
        <w:tc>
          <w:tcPr>
            <w:tcW w:type="dxa" w:w="396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Compare out-of-sample forecast errors with a moving-average baseline.</w:t>
            </w:r>
          </w:p>
        </w:tc>
      </w:tr>
    </w:tbl>
    <w:p>
      <w:pPr>
        <w:spacing w:after="20"/>
      </w:pPr>
    </w:p>
    <w:p>
      <w:pPr>
        <w:pStyle w:val="Heading1"/>
      </w:pPr>
      <w:r>
        <w:t>9. Expected benefits and how success should be measured</w:t>
      </w:r>
    </w:p>
    <w:tbl>
      <w:tblPr>
        <w:tblW w:type="auto" w:w="0"/>
        <w:jc w:val="center"/>
        <w:tblLayout w:type="fixed"/>
        <w:tblLook w:firstColumn="1" w:firstRow="1" w:lastColumn="0" w:lastRow="0" w:noHBand="0" w:noVBand="1" w:val="04A0"/>
      </w:tblPr>
      <w:tblGrid>
        <w:gridCol w:w="2160"/>
        <w:gridCol w:w="3600"/>
        <w:gridCol w:w="4104"/>
      </w:tblGrid>
      <w:tr>
        <w:trPr>
          <w:tblHeader w:val="true"/>
          <w:cantSplit/>
        </w:trPr>
        <w:tc>
          <w:tcPr>
            <w:tcW w:type="dxa" w:w="2160"/>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Potential benefit</w:t>
            </w:r>
          </w:p>
        </w:tc>
        <w:tc>
          <w:tcPr>
            <w:tcW w:type="dxa" w:w="3600"/>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Metric to track</w:t>
            </w:r>
          </w:p>
        </w:tc>
        <w:tc>
          <w:tcPr>
            <w:tcW w:type="dxa" w:w="4104"/>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Evidence needed</w:t>
            </w:r>
          </w:p>
        </w:tc>
      </w:tr>
      <w:tr>
        <w:trPr>
          <w:cantSplit/>
        </w:trPr>
        <w:tc>
          <w:tcPr>
            <w:tcW w:type="dxa" w:w="216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Fewer stockouts</w:t>
            </w:r>
          </w:p>
        </w:tc>
        <w:tc>
          <w:tcPr>
            <w:tcW w:type="dxa" w:w="360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Stockout events or stockout days for tracked products</w:t>
            </w:r>
          </w:p>
        </w:tc>
        <w:tc>
          <w:tcPr>
            <w:tcW w:type="dxa" w:w="410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Reliable on-hand stock and item availability records.</w:t>
            </w:r>
          </w:p>
        </w:tc>
      </w:tr>
      <w:tr>
        <w:trPr>
          <w:cantSplit/>
        </w:trPr>
        <w:tc>
          <w:tcPr>
            <w:tcW w:type="dxa" w:w="216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Less excess stock</w:t>
            </w:r>
          </w:p>
        </w:tc>
        <w:tc>
          <w:tcPr>
            <w:tcW w:type="dxa" w:w="360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Value and units of inventory beyond a defined cover threshold</w:t>
            </w:r>
          </w:p>
        </w:tc>
        <w:tc>
          <w:tcPr>
            <w:tcW w:type="dxa" w:w="410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Inventory quantities, product cost, and demand history.</w:t>
            </w:r>
          </w:p>
        </w:tc>
      </w:tr>
      <w:tr>
        <w:trPr>
          <w:cantSplit/>
        </w:trPr>
        <w:tc>
          <w:tcPr>
            <w:tcW w:type="dxa" w:w="216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Lower expiry waste</w:t>
            </w:r>
          </w:p>
        </w:tc>
        <w:tc>
          <w:tcPr>
            <w:tcW w:type="dxa" w:w="360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Units/value expiring before sale as a share of tracked perishable stock</w:t>
            </w:r>
          </w:p>
        </w:tc>
        <w:tc>
          <w:tcPr>
            <w:tcW w:type="dxa" w:w="410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Batch-level quantities, expiry dates, and sales.</w:t>
            </w:r>
          </w:p>
        </w:tc>
      </w:tr>
      <w:tr>
        <w:trPr>
          <w:cantSplit/>
        </w:trPr>
        <w:tc>
          <w:tcPr>
            <w:tcW w:type="dxa" w:w="216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Better forecasts</w:t>
            </w:r>
          </w:p>
        </w:tc>
        <w:tc>
          <w:tcPr>
            <w:tcW w:type="dxa" w:w="360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MAE / RMSE or a suitable scale-aware metric against a simple baseline</w:t>
            </w:r>
          </w:p>
        </w:tc>
        <w:tc>
          <w:tcPr>
            <w:tcW w:type="dxa" w:w="410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Chronological training and testing data; actual future observations.</w:t>
            </w:r>
          </w:p>
        </w:tc>
      </w:tr>
      <w:tr>
        <w:trPr>
          <w:cantSplit/>
        </w:trPr>
        <w:tc>
          <w:tcPr>
            <w:tcW w:type="dxa" w:w="216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Faster purchasing workflow</w:t>
            </w:r>
          </w:p>
        </w:tc>
        <w:tc>
          <w:tcPr>
            <w:tcW w:type="dxa" w:w="360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Time required to prepare and review a purchase order</w:t>
            </w:r>
          </w:p>
        </w:tc>
        <w:tc>
          <w:tcPr>
            <w:tcW w:type="dxa" w:w="410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Observed before/after task timing.</w:t>
            </w:r>
          </w:p>
        </w:tc>
      </w:tr>
      <w:tr>
        <w:trPr>
          <w:cantSplit/>
        </w:trPr>
        <w:tc>
          <w:tcPr>
            <w:tcW w:type="dxa" w:w="216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Owner trust and usage</w:t>
            </w:r>
          </w:p>
        </w:tc>
        <w:tc>
          <w:tcPr>
            <w:tcW w:type="dxa" w:w="360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Recommendation review rate, override rate, repeated use, and feedback</w:t>
            </w:r>
          </w:p>
        </w:tc>
        <w:tc>
          <w:tcPr>
            <w:tcW w:type="dxa" w:w="410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Usage logs or structured pilot feedback.</w:t>
            </w:r>
          </w:p>
        </w:tc>
      </w:tr>
    </w:tbl>
    <w:p>
      <w:pPr>
        <w:spacing w:after="20"/>
      </w:pPr>
    </w:p>
    <w:p>
      <w:r>
        <w:t>These measures should be treated as evaluation goals, not guaranteed outcomes. The project must not claim that it has reduced costs or prevented waste unless those outcomes have been measured in a properly designed test.</w:t>
      </w:r>
    </w:p>
    <w:p>
      <w:pPr>
        <w:pStyle w:val="Heading1"/>
      </w:pPr>
      <w:r>
        <w:t>10. Suggested scope for an initial version</w:t>
      </w:r>
    </w:p>
    <w:p>
      <w:pPr>
        <w:pStyle w:val="Heading2"/>
      </w:pPr>
      <w:r>
        <w:t>Included in the initial product concept</w:t>
      </w:r>
    </w:p>
    <w:p>
      <w:pPr>
        <w:pStyle w:val="ListBullet"/>
        <w:spacing w:after="50"/>
        <w:ind w:left="360" w:hanging="216"/>
      </w:pPr>
      <w:r>
        <w:t>Sales performance summaries by date, product, and category.</w:t>
      </w:r>
    </w:p>
    <w:p>
      <w:pPr>
        <w:pStyle w:val="ListBullet"/>
        <w:spacing w:after="50"/>
        <w:ind w:left="360" w:hanging="216"/>
      </w:pPr>
      <w:r>
        <w:t>Product movement classification and low-stock/slow-moving review lists.</w:t>
      </w:r>
    </w:p>
    <w:p>
      <w:pPr>
        <w:pStyle w:val="ListBullet"/>
        <w:spacing w:after="50"/>
        <w:ind w:left="360" w:hanging="216"/>
      </w:pPr>
      <w:r>
        <w:t>Demand forecasts for products with enough usable history.</w:t>
      </w:r>
    </w:p>
    <w:p>
      <w:pPr>
        <w:pStyle w:val="ListBullet"/>
        <w:spacing w:after="50"/>
        <w:ind w:left="360" w:hanging="216"/>
      </w:pPr>
      <w:r>
        <w:t>Explainable reorder suggestions using stock, demand, lead time, and safety-stock assumptions.</w:t>
      </w:r>
    </w:p>
    <w:p>
      <w:pPr>
        <w:pStyle w:val="ListBullet"/>
        <w:spacing w:after="50"/>
        <w:ind w:left="360" w:hanging="216"/>
      </w:pPr>
      <w:r>
        <w:t>Expiry-risk flags only where reliable expiry and batch data exists.</w:t>
      </w:r>
    </w:p>
    <w:p>
      <w:pPr>
        <w:pStyle w:val="ListBullet"/>
        <w:spacing w:after="50"/>
        <w:ind w:left="360" w:hanging="216"/>
      </w:pPr>
      <w:r>
        <w:t>A clear view of data-quality issues and the basis for each recommendation.</w:t>
      </w:r>
    </w:p>
    <w:p>
      <w:pPr>
        <w:pStyle w:val="Heading2"/>
      </w:pPr>
      <w:r>
        <w:t>Outside the initial scope</w:t>
      </w:r>
    </w:p>
    <w:p>
      <w:pPr>
        <w:pStyle w:val="ListBullet"/>
        <w:spacing w:after="50"/>
        <w:ind w:left="360" w:hanging="216"/>
      </w:pPr>
      <w:r>
        <w:t>Replacing the retailer’s existing billing/POS or accounting system.</w:t>
      </w:r>
    </w:p>
    <w:p>
      <w:pPr>
        <w:pStyle w:val="ListBullet"/>
        <w:spacing w:after="50"/>
        <w:ind w:left="360" w:hanging="216"/>
      </w:pPr>
      <w:r>
        <w:t>Automatically sending purchase orders or making payments without owner approval.</w:t>
      </w:r>
    </w:p>
    <w:p>
      <w:pPr>
        <w:pStyle w:val="ListBullet"/>
        <w:spacing w:after="50"/>
        <w:ind w:left="360" w:hanging="216"/>
      </w:pPr>
      <w:r>
        <w:t>Guaranteeing sales, savings, or forecast accuracy.</w:t>
      </w:r>
    </w:p>
    <w:p>
      <w:pPr>
        <w:pStyle w:val="ListBullet"/>
        <w:spacing w:after="50"/>
        <w:ind w:left="360" w:hanging="216"/>
      </w:pPr>
      <w:r>
        <w:t>Supporting every retail category, every POS provider, and multi-national chains from day one.</w:t>
      </w:r>
    </w:p>
    <w:p>
      <w:pPr>
        <w:pStyle w:val="ListBullet"/>
        <w:spacing w:after="50"/>
        <w:ind w:left="360" w:hanging="216"/>
      </w:pPr>
      <w:r>
        <w:t>Treating incomplete or simulated records as real store observations.</w:t>
      </w:r>
    </w:p>
    <w:p>
      <w:pPr>
        <w:pStyle w:val="Heading1"/>
      </w:pPr>
      <w:r>
        <w:t>11. Key assumptions, constraints, and risks</w:t>
      </w:r>
    </w:p>
    <w:tbl>
      <w:tblPr>
        <w:tblW w:type="auto" w:w="0"/>
        <w:jc w:val="center"/>
        <w:tblLayout w:type="fixed"/>
        <w:tblLook w:firstColumn="1" w:firstRow="1" w:lastColumn="0" w:lastRow="0" w:noHBand="0" w:noVBand="1" w:val="04A0"/>
      </w:tblPr>
      <w:tblGrid>
        <w:gridCol w:w="2232"/>
        <w:gridCol w:w="3672"/>
        <w:gridCol w:w="3960"/>
      </w:tblGrid>
      <w:tr>
        <w:trPr>
          <w:tblHeader w:val="true"/>
          <w:cantSplit/>
        </w:trPr>
        <w:tc>
          <w:tcPr>
            <w:tcW w:type="dxa" w:w="2232"/>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Risk / assumption</w:t>
            </w:r>
          </w:p>
        </w:tc>
        <w:tc>
          <w:tcPr>
            <w:tcW w:type="dxa" w:w="3672"/>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Why it matters</w:t>
            </w:r>
          </w:p>
        </w:tc>
        <w:tc>
          <w:tcPr>
            <w:tcW w:type="dxa" w:w="3960"/>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Mitigation</w:t>
            </w:r>
          </w:p>
        </w:tc>
      </w:tr>
      <w:tr>
        <w:trPr>
          <w:cantSplit/>
        </w:trPr>
        <w:tc>
          <w:tcPr>
            <w:tcW w:type="dxa" w:w="223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Incomplete records</w:t>
            </w:r>
          </w:p>
        </w:tc>
        <w:tc>
          <w:tcPr>
            <w:tcW w:type="dxa" w:w="367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Sales alone do not reveal exact closing inventory or expiry batches.</w:t>
            </w:r>
          </w:p>
        </w:tc>
        <w:tc>
          <w:tcPr>
            <w:tcW w:type="dxa" w:w="396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Identify missing fields and limit recommendations to what the data supports.</w:t>
            </w:r>
          </w:p>
        </w:tc>
      </w:tr>
      <w:tr>
        <w:trPr>
          <w:cantSplit/>
        </w:trPr>
        <w:tc>
          <w:tcPr>
            <w:tcW w:type="dxa" w:w="223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Product identity mismatch</w:t>
            </w:r>
          </w:p>
        </w:tc>
        <w:tc>
          <w:tcPr>
            <w:tcW w:type="dxa" w:w="367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The same product may have different names across sales and purchase records.</w:t>
            </w:r>
          </w:p>
        </w:tc>
        <w:tc>
          <w:tcPr>
            <w:tcW w:type="dxa" w:w="396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Use stable product identifiers and a reviewed mapping process.</w:t>
            </w:r>
          </w:p>
        </w:tc>
      </w:tr>
      <w:tr>
        <w:trPr>
          <w:cantSplit/>
        </w:trPr>
        <w:tc>
          <w:tcPr>
            <w:tcW w:type="dxa" w:w="223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Forecast uncertainty</w:t>
            </w:r>
          </w:p>
        </w:tc>
        <w:tc>
          <w:tcPr>
            <w:tcW w:type="dxa" w:w="367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Festivals, promotions, weather, and stockouts may alter observed sales.</w:t>
            </w:r>
          </w:p>
        </w:tc>
        <w:tc>
          <w:tcPr>
            <w:tcW w:type="dxa" w:w="396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Use baselines, chronological evaluation, error reporting, and human review.</w:t>
            </w:r>
          </w:p>
        </w:tc>
      </w:tr>
      <w:tr>
        <w:trPr>
          <w:cantSplit/>
        </w:trPr>
        <w:tc>
          <w:tcPr>
            <w:tcW w:type="dxa" w:w="223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Existing software capability</w:t>
            </w:r>
          </w:p>
        </w:tc>
        <w:tc>
          <w:tcPr>
            <w:tcW w:type="dxa" w:w="367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Competitors already advertise analytics, stock alerts, reorder, and expiry functions.</w:t>
            </w:r>
          </w:p>
        </w:tc>
        <w:tc>
          <w:tcPr>
            <w:tcW w:type="dxa" w:w="396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Interview target users and compare actual workflows before claiming a gap.</w:t>
            </w:r>
          </w:p>
        </w:tc>
      </w:tr>
      <w:tr>
        <w:trPr>
          <w:cantSplit/>
        </w:trPr>
        <w:tc>
          <w:tcPr>
            <w:tcW w:type="dxa" w:w="223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Adoption friction</w:t>
            </w:r>
          </w:p>
        </w:tc>
        <w:tc>
          <w:tcPr>
            <w:tcW w:type="dxa" w:w="367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Owners may resist a complicated new process.</w:t>
            </w:r>
          </w:p>
        </w:tc>
        <w:tc>
          <w:tcPr>
            <w:tcW w:type="dxa" w:w="396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Keep the main experience focused on a small number of useful actions.</w:t>
            </w:r>
          </w:p>
        </w:tc>
      </w:tr>
      <w:tr>
        <w:trPr>
          <w:cantSplit/>
        </w:trPr>
        <w:tc>
          <w:tcPr>
            <w:tcW w:type="dxa" w:w="223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Data privacy and access</w:t>
            </w:r>
          </w:p>
        </w:tc>
        <w:tc>
          <w:tcPr>
            <w:tcW w:type="dxa" w:w="367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Transaction records may contain customer or business-sensitive information.</w:t>
            </w:r>
          </w:p>
        </w:tc>
        <w:tc>
          <w:tcPr>
            <w:tcW w:type="dxa" w:w="396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Use consent, minimisation, access controls, anonymisation, and secure handling.</w:t>
            </w:r>
          </w:p>
        </w:tc>
      </w:tr>
    </w:tbl>
    <w:p>
      <w:pPr>
        <w:spacing w:after="20"/>
      </w:pPr>
    </w:p>
    <w:p>
      <w:pPr>
        <w:pStyle w:val="Heading1"/>
      </w:pPr>
      <w:r>
        <w:t>12. Conclusion</w:t>
      </w:r>
    </w:p>
    <w:p>
      <w:r>
        <w:t>RetailPulse is a promising project concept because it connects a practical retail problem—deciding what to sell, what to buy, and what stock needs attention—with measurable analytical outcomes. The strongest version of the idea is not “another dashboard” but an owner-friendly decision-support product that explains its findings and recommendations. Existing retail software already covers many functions, so differentiation must be validated with real store owners. The next discovery step is to inspect real or public data, speak with retailers, identify gaps in their current workflow, and measure whether recommendations improve decisions.</w:t>
      </w:r>
    </w:p>
    <w:p>
      <w:pPr>
        <w:pStyle w:val="Heading1"/>
      </w:pPr>
      <w:r>
        <w:t>References and research sources</w:t>
      </w:r>
    </w:p>
    <w:p>
      <w:pPr>
        <w:spacing w:after="80"/>
        <w:ind w:left="403" w:hanging="403"/>
      </w:pPr>
      <w:r>
        <w:rPr>
          <w:b/>
          <w:color w:val="0E8F8F"/>
        </w:rPr>
        <w:t xml:space="preserve">[1] </w:t>
      </w:r>
      <w:r>
        <w:t>NITI Aayog. AI for Inclusive Societal Development, section on Kirana store workers, including challenges around manual stock-taking, inventory visibility, and stockouts (2025). https://www.niti.gov.in/sites/default/files/2025-10/Roadmap_On_AI_for_Inclusive_Societal_Development.pdf</w:t>
      </w:r>
    </w:p>
    <w:p>
      <w:pPr>
        <w:spacing w:after="80"/>
        <w:ind w:left="403" w:hanging="403"/>
      </w:pPr>
      <w:r>
        <w:rPr>
          <w:b/>
          <w:color w:val="0E8F8F"/>
        </w:rPr>
        <w:t xml:space="preserve">[2] </w:t>
      </w:r>
      <w:r>
        <w:t>GoFrugal. Retail POS software features: billing, purchase/reorder, inventory, business intelligence, procurement, warehouse, supply chain, and cloud POS. Vendor product information. https://www.gofrugal.com/retail/features/ (accessed 22 October 2026).</w:t>
      </w:r>
    </w:p>
    <w:p>
      <w:pPr>
        <w:spacing w:after="80"/>
        <w:ind w:left="403" w:hanging="403"/>
      </w:pPr>
      <w:r>
        <w:rPr>
          <w:b/>
          <w:color w:val="0E8F8F"/>
        </w:rPr>
        <w:t xml:space="preserve">[3] </w:t>
      </w:r>
      <w:r>
        <w:t>Ginesys. Supermarket billing software and retail ERP features including procurement, replenishment, reporting, inventory, and integrations. Vendor product information. https://www.ginesys.in/solutions/supermarket-billing-software (accessed 22 October 2026).</w:t>
      </w:r>
    </w:p>
    <w:p>
      <w:pPr>
        <w:spacing w:after="80"/>
        <w:ind w:left="403" w:hanging="403"/>
      </w:pPr>
      <w:r>
        <w:rPr>
          <w:b/>
          <w:color w:val="0E8F8F"/>
        </w:rPr>
        <w:t xml:space="preserve">[4] </w:t>
      </w:r>
      <w:r>
        <w:t>Marg ERP. Supermarket software and grocery POS features including inventory, reorder management, expiry management, billing, and MIS reports. Vendor product information. https://margcompusoft.com/retail/supermarket_software.html (accessed 22 October 2026).</w:t>
      </w:r>
    </w:p>
    <w:p>
      <w:pPr>
        <w:spacing w:after="80"/>
        <w:ind w:left="403" w:hanging="403"/>
      </w:pPr>
      <w:r>
        <w:rPr>
          <w:b/>
          <w:color w:val="0E8F8F"/>
        </w:rPr>
        <w:t xml:space="preserve">[5] </w:t>
      </w:r>
      <w:r>
        <w:t>Vyapar. Billing, inventory and accounting software with GST; published capabilities include purchase/sales orders, low-stock alerts, expiry/batch tracking, and reports. https://vyaparapp.in/pricing-detail (accessed 22 October 2026).</w:t>
      </w:r>
    </w:p>
    <w:p>
      <w:pPr>
        <w:spacing w:after="80"/>
        <w:ind w:left="403" w:hanging="403"/>
      </w:pPr>
      <w:r>
        <w:rPr>
          <w:b/>
          <w:color w:val="0E8F8F"/>
        </w:rPr>
        <w:t xml:space="preserve">[6] </w:t>
      </w:r>
      <w:r>
        <w:t>Genesics. Retail and supermarket software features, including stock movement, reorder, and near-expiry alerts. Vendor product information. https://genesics.com/retail (accessed 22 October 2026).</w:t>
      </w: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6912"/>
      <w:gridCol w:w="3024"/>
    </w:tblGrid>
    <w:tr>
      <w:tc>
        <w:tcPr>
          <w:tcW w:type="dxa" w:w="6912"/>
          <w:tcMar>
            <w:top w:w="40" w:type="dxa"/>
            <w:start w:w="0" w:type="dxa"/>
            <w:bottom w:w="0" w:type="dxa"/>
            <w:end w:w="0" w:type="dxa"/>
          </w:tcMar>
          <w:tcBorders>
            <w:top w:val="single" w:sz="4" w:color="D6E0E5"/>
          </w:tcBorders>
        </w:tcPr>
        <w:p>
          <w:pPr>
            <w:spacing w:after="0"/>
          </w:pPr>
          <w:r>
            <w:rPr>
              <w:color w:val="637786"/>
              <w:sz w:val="16"/>
            </w:rPr>
            <w:t>Planning document  •  22 October 2026</w:t>
          </w:r>
        </w:p>
      </w:tc>
      <w:tc>
        <w:tcPr>
          <w:tcW w:type="dxa" w:w="3024"/>
          <w:tcMar>
            <w:top w:w="40" w:type="dxa"/>
            <w:start w:w="0" w:type="dxa"/>
            <w:bottom w:w="0" w:type="dxa"/>
            <w:end w:w="0" w:type="dxa"/>
          </w:tcMar>
          <w:tcBorders>
            <w:top w:val="single" w:sz="4" w:color="D6E0E5"/>
          </w:tcBorders>
        </w:tcPr>
        <w:p>
          <w:pPr>
            <w:spacing w:after="0"/>
            <w:jc w:val="right"/>
          </w:pPr>
          <w:r>
            <w:rPr>
              <w:rFonts w:ascii="Aptos" w:hAnsi="Aptos"/>
              <w:color w:val="637786"/>
              <w:sz w:val="16"/>
            </w:rPr>
            <w:t xml:space="preserve">Page </w:t>
          </w:r>
          <w:r>
            <w:fldChar w:fldCharType="begin"/>
          </w:r>
          <w:r>
            <w:instrText xml:space="preserve"> PAGE </w:instrText>
          </w:r>
          <w: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tbl>
    <w:tblPr>
      <w:tblW w:type="auto" w:w="0"/>
      <w:tblLayout w:type="fixed"/>
      <w:tblLook w:firstColumn="1" w:firstRow="1" w:lastColumn="0" w:lastRow="0" w:noHBand="0" w:noVBand="1" w:val="04A0"/>
    </w:tblPr>
    <w:tblGrid>
      <w:gridCol w:w="5184"/>
      <w:gridCol w:w="4752"/>
    </w:tblGrid>
    <w:tr>
      <w:tc>
        <w:tcPr>
          <w:tcW w:type="dxa" w:w="5184"/>
          <w:tcMar>
            <w:top w:w="0" w:type="dxa"/>
            <w:start w:w="0" w:type="dxa"/>
            <w:bottom w:w="60" w:type="dxa"/>
            <w:end w:w="0" w:type="dxa"/>
          </w:tcMar>
          <w:tcBorders>
            <w:bottom w:val="single" w:sz="8" w:color="0E8F8F"/>
          </w:tcBorders>
        </w:tcPr>
        <w:p>
          <w:pPr>
            <w:spacing w:after="0"/>
          </w:pPr>
          <w:r>
            <w:rPr>
              <w:b/>
              <w:color w:val="0E8F8F"/>
              <w:sz w:val="16"/>
            </w:rPr>
            <w:t>RETAILPULSE</w:t>
          </w:r>
        </w:p>
      </w:tc>
      <w:tc>
        <w:tcPr>
          <w:tcW w:type="dxa" w:w="4752"/>
          <w:tcMar>
            <w:top w:w="0" w:type="dxa"/>
            <w:start w:w="0" w:type="dxa"/>
            <w:bottom w:w="60" w:type="dxa"/>
            <w:end w:w="0" w:type="dxa"/>
          </w:tcMar>
          <w:tcBorders>
            <w:bottom w:val="single" w:sz="8" w:color="0E8F8F"/>
          </w:tcBorders>
        </w:tcPr>
        <w:p>
          <w:pPr>
            <w:spacing w:after="0"/>
            <w:jc w:val="right"/>
          </w:pPr>
          <w:r>
            <w:rPr>
              <w:color w:val="637786"/>
              <w:sz w:val="15"/>
            </w:rPr>
            <w:t>PRODUCT CONCEPT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69" w:lineRule="auto"/>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83247"/>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E8F8F"/>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2D6A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w:hAnsi="Aptos"/>
      <w:b w:val="0"/>
      <w:i/>
      <w:iCs/>
      <w:color w:val="0E8F8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after="180"/>
    </w:pPr>
    <w:rPr>
      <w:rFonts w:ascii="Aptos" w:hAnsi="Aptos"/>
      <w:b/>
      <w:color w:val="0E8F8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