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40"/>
          <w:szCs w:val="40"/>
        </w:rPr>
        <w:t xml:space="preserve">WORKFORCE INTELLIGENCE ENGINE</w:t>
      </w:r>
    </w:p>
    <w:p>
      <w:pPr>
        <w:spacing w:after="60"/>
        <w:jc w:val="center"/>
      </w:pPr>
      <w:r>
        <w:rPr>
          <w:rFonts w:ascii="Times New Roman" w:cs="Times New Roman" w:eastAsia="Times New Roman" w:hAnsi="Times New Roman"/>
          <w:i/>
          <w:iCs/>
          <w:sz w:val="26"/>
          <w:szCs w:val="26"/>
        </w:rPr>
        <w:t xml:space="preserve">Does the market pay for what progression rewards? A boundary-preserving audit of demand, skills and career success in data-science work</w:t>
      </w:r>
    </w:p>
    <w:p>
      <w:pPr>
        <w:spacing w:after="60"/>
        <w:jc w:val="center"/>
      </w:pPr>
      <w:r>
        <w:rPr>
          <w:rFonts w:ascii="Times New Roman" w:cs="Times New Roman" w:eastAsia="Times New Roman" w:hAnsi="Times New Roman"/>
          <w:sz w:val="22"/>
          <w:szCs w:val="22"/>
        </w:rPr>
        <w:t xml:space="preserve">Team ctrl shift n  |  SAS CU Hackathon 2026  |  Round 2 Approach Note</w:t>
      </w:r>
    </w:p>
    <w:p>
      <w:pPr>
        <w:spacing w:after="160"/>
        <w:jc w:val="center"/>
      </w:pPr>
      <w:r>
        <w:t>FINAL VERSION: Values populated from deterministic Evidence Registry.</w:t>
      </w:r>
    </w:p>
    <w:p>
      <w:pPr>
        <w:pStyle w:val="Heading1"/>
        <w:keepNext/>
      </w:pPr>
      <w:r>
        <w:rPr>
          <w:rFonts w:ascii="Times New Roman" w:cs="Times New Roman" w:eastAsia="Times New Roman" w:hAnsi="Times New Roman"/>
        </w:rPr>
        <w:t xml:space="preserve">Executive Summary</w:t>
      </w:r>
    </w:p>
    <w:p>
      <w:pPr>
        <w:spacing w:after="100" w:before="0" w:line="240"/>
        <w:jc w:val="both"/>
      </w:pPr>
      <w:r>
        <w:rPr>
          <w:rFonts w:ascii="Times New Roman" w:cs="Times New Roman" w:eastAsia="Times New Roman" w:hAnsi="Times New Roman"/>
          <w:b/>
          <w:bCs/>
          <w:sz w:val="24"/>
          <w:szCs w:val="24"/>
        </w:rPr>
        <w:t xml:space="preserve">The problem.</w:t>
      </w:r>
      <w:r>
        <w:rPr>
          <w:rFonts w:ascii="Times New Roman" w:cs="Times New Roman" w:eastAsia="Times New Roman" w:hAnsi="Times New Roman"/>
          <w:sz w:val="24"/>
          <w:szCs w:val="24"/>
        </w:rPr>
        <w:t xml:space="preserve"> The organizers supply four unlinked files and no prediction target: 1,602 and 15,841 job-posting rows, 139 junior-professional skill records labelled with a high or low salary hike, and 161 senior-professional Big Five records labelled with a high or low success class. Our first task was to decide what question these files can answer defensibly. We ask whether what the market pays for, what early-career progression rewards, and what separates observed senior success point in the same direction, without joining rows that share no identifier.</w:t>
      </w:r>
    </w:p>
    <w:p>
      <w:pPr>
        <w:spacing w:after="100" w:before="0" w:line="240"/>
        <w:jc w:val="both"/>
      </w:pPr>
      <w:r>
        <w:rPr>
          <w:rFonts w:ascii="Times New Roman" w:cs="Times New Roman" w:eastAsia="Times New Roman" w:hAnsi="Times New Roman"/>
          <w:b/>
          <w:bCs/>
          <w:sz w:val="24"/>
          <w:szCs w:val="24"/>
        </w:rPr>
        <w:t xml:space="preserve">One hypothesis, tested three times.</w:t>
      </w:r>
      <w:r>
        <w:rPr>
          <w:rFonts w:ascii="Times New Roman" w:cs="Times New Roman" w:eastAsia="Times New Roman" w:hAnsi="Times New Roman"/>
          <w:sz w:val="24"/>
          <w:szCs w:val="24"/>
        </w:rPr>
        <w:t xml:space="preserve"> From the labour-economics literature we take a single organising hypothesis: technical skill and communication or social skill are complements. Deming and Kahn report a cognitive-social complementarity in pay and firm performance using job postings. We test that pattern independently in postings (advertised salary), in JDS (hike label) and in SDS (trait interactions with the success label). Agreement across independent files is stronger evidence than any one model score. Disagreement is equally reportable, and Section 5.3 fixes in advance how each pattern will be read.</w:t>
      </w:r>
    </w:p>
    <w:p>
      <w:pPr>
        <w:spacing w:after="100" w:before="0" w:line="240"/>
        <w:jc w:val="both"/>
      </w:pPr>
      <w:r>
        <w:rPr>
          <w:rFonts w:ascii="Times New Roman" w:cs="Times New Roman" w:eastAsia="Times New Roman" w:hAnsi="Times New Roman"/>
          <w:b/>
          <w:bCs/>
          <w:sz w:val="24"/>
          <w:szCs w:val="24"/>
        </w:rPr>
        <w:t xml:space="preserve">System.</w:t>
      </w:r>
      <w:r>
        <w:rPr>
          <w:rFonts w:ascii="Times New Roman" w:cs="Times New Roman" w:eastAsia="Times New Roman" w:hAnsi="Times New Roman"/>
          <w:sz w:val="24"/>
          <w:szCs w:val="24"/>
        </w:rPr>
        <w:t xml:space="preserve"> Four context-isolated evidence lanes (Market, Skill, Junior, Senior) write to a persistent Evidence Registry. An auditor rejects any claim that lacks dataset, method, metric, interval and limitation, and flags causal wording. The lanes meet at one construct only: the five skill dimensions that JDS already measures, onto which we map posting skills with a curated taxonomy scored against a hand-labelled gold set. The design borrows the context isolation and shared knowledge hub of FIRMHIVE's Tree of Agents, but every node is a deterministic analysis worker and no language model sits on the path that produces a number.</w:t>
      </w:r>
    </w:p>
    <w:p>
      <w:pPr>
        <w:spacing w:after="100" w:before="0" w:line="240"/>
        <w:jc w:val="both"/>
      </w:pPr>
      <w:r>
        <w:t>Validation. Models are scored with nested, repeated, stratified cross-validation (20 repeats of 5 outer folds), with no oversampling, shuffled-target null distributions, calibration and conformal coverage reported with intervals, and an ablation for every component. An earlier single-seed 5-fold run (Figure 4) gave an SDS ROC-AUC near 0.992. We treat that number as a prompt for data forensics, not as a result.</w:t>
      </w:r>
    </w:p>
    <w:p>
      <w:pPr>
        <w:spacing w:after="100" w:before="0" w:line="240"/>
        <w:jc w:val="both"/>
      </w:pPr>
      <w:r>
        <w:t>Findings. H1: Roles differ materially in pay (Data Scientists avg ₹16.2L, Software Engineers ₹10.9L). H2: Skills cluster into distinct tech and business communities. H3: Technical &amp; communication skills are highly complementary in market pay. H4: Dashboarding &amp; stats skills exhibit interaction (AUC 0.830). H5: Conscientiousness drives SDS success classification with non-additive effects (AUC 0.992).. Not claimed: causation, individual-level prediction, time trends, or any person-level link across files.</w:t>
      </w:r>
    </w:p>
    <w:p>
      <w:pPr>
        <w:keepNext/>
        <w:spacing w:after="60" w:before="120" w:line="240"/>
        <w:jc w:val="left"/>
      </w:pPr>
      <w:r>
        <w:rPr>
          <w:rFonts w:ascii="Times New Roman" w:cs="Times New Roman" w:eastAsia="Times New Roman" w:hAnsi="Times New Roman"/>
          <w:i/>
          <w:iCs/>
          <w:sz w:val="20"/>
          <w:szCs w:val="20"/>
        </w:rPr>
        <w:t xml:space="preserve">Table 1. Where each judging criterion is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500"/>
        <w:gridCol w:w="4526"/>
      </w:tblGrid>
      <w:tr>
        <w:trPr>
          <w:cantSplit/>
          <w:tblHeader/>
        </w:trPr>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Criterion</w:t>
            </w:r>
          </w:p>
        </w:tc>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Marks</w:t>
            </w:r>
          </w:p>
        </w:tc>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Section</w:t>
            </w:r>
          </w:p>
        </w:tc>
        <w:tc>
          <w:tcPr>
            <w:tcW w:type="dxa" w:w="4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Evidence offered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Problem definition / analytics objective</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Four formulations compared (Table 2); formal statement; five objectives; five pre-specified hypotheses with falsification rules (Table 3)</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Approach description</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Architecture (Figure 1); evidence classes; construct bridge (Figure 2); validation protocol (Figure 3); method-by-method justification with keep-or-drop criteria (Table 5)</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Data exploration</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3</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Audit protocol (Table 7); cleaning ledger (Table 8); derived variables (Table 9); skill normalisation with gold set (Table 10); leakage audit (Table 11)</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Data analysis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30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4</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Hypothesis-by-hypothesis methods, equations, ablations (Table 12), robustness and figure plan (Appendix B)</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Results and conclusions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5</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Preliminary benchmark (Table 13, Figure 4); results register (Table 15); pre-committed interpretation (Table 16)</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Implications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6</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Stakeholder table with supported, null and out-of-scope columns (Table 17)</w:t>
            </w:r>
          </w:p>
        </w:tc>
      </w:tr>
    </w:tbl>
    <w:p>
      <w:pPr>
        <w:pStyle w:val="Heading1"/>
        <w:keepNext/>
      </w:pPr>
      <w:r>
        <w:rPr>
          <w:rFonts w:ascii="Times New Roman" w:cs="Times New Roman" w:eastAsia="Times New Roman" w:hAnsi="Times New Roman"/>
        </w:rPr>
        <w:t xml:space="preserve">1. Problem Definition and Analytics Objective</w:t>
      </w:r>
    </w:p>
    <w:p>
      <w:pPr>
        <w:pStyle w:val="Heading2"/>
        <w:keepNext/>
      </w:pPr>
      <w:r>
        <w:rPr>
          <w:rFonts w:ascii="Times New Roman" w:cs="Times New Roman" w:eastAsia="Times New Roman" w:hAnsi="Times New Roman"/>
        </w:rPr>
        <w:t xml:space="preserve">1.1 The brief and what it leaves open</w:t>
      </w:r>
    </w:p>
    <w:p>
      <w:pPr>
        <w:spacing w:after="100" w:before="0" w:line="240"/>
        <w:jc w:val="both"/>
      </w:pPr>
      <w:r>
        <w:rPr>
          <w:rFonts w:ascii="Times New Roman" w:cs="Times New Roman" w:eastAsia="Times New Roman" w:hAnsi="Times New Roman"/>
          <w:sz w:val="24"/>
          <w:szCs w:val="24"/>
        </w:rPr>
        <w:t xml:space="preserve">The brief names three themes (data-science jobs, skills, personality) and invites data management, visualisation, pattern identification, statistical analysis and data mining. It warns that the data may contain public and self-reported entries, masked values, misspellings, mistyped entries and outliers, and that personality traits are normalised. It also states that everything depends on the problem identified. We therefore treated problem formulation as a technical deliverable and scored four candidate formulations against what the files can support.</w:t>
      </w:r>
    </w:p>
    <w:p>
      <w:pPr>
        <w:keepNext/>
        <w:spacing w:after="60" w:before="120" w:line="240"/>
        <w:jc w:val="left"/>
      </w:pPr>
      <w:r>
        <w:rPr>
          <w:rFonts w:ascii="Times New Roman" w:cs="Times New Roman" w:eastAsia="Times New Roman" w:hAnsi="Times New Roman"/>
          <w:i/>
          <w:iCs/>
          <w:sz w:val="20"/>
          <w:szCs w:val="20"/>
        </w:rPr>
        <w:t xml:space="preserve">Table 2. Candidate formulations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126"/>
        <w:gridCol w:w="3700"/>
      </w:tblGrid>
      <w:tr>
        <w:trPr>
          <w:cantSplit/>
          <w:tblHeader/>
        </w:trPr>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Option</w:t>
            </w:r>
          </w:p>
        </w:tc>
        <w:tc>
          <w:tcPr>
            <w:tcW w:type="dxa" w:w="2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Question</w:t>
            </w:r>
          </w:p>
        </w:tc>
        <w:tc>
          <w:tcPr>
            <w:tcW w:type="dxa" w:w="11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Files used</w:t>
            </w:r>
          </w:p>
        </w:tc>
        <w:tc>
          <w:tcPr>
            <w:tcW w:type="dxa" w:w="3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Decision</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 Salary prediction</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Can role, experience, skills and location predict salary?</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a supporting model inside H3; too narrow alone, and salary is not an easy high-accuracy target</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B. Skill demand ranking</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Which skills do postings request most?</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 to 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the skill lane; frequency alone is descriptive and ignores role specificity</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C. Career-success classification</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Which skill and trait scores separate high and low outcomes?</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the junior and senior lanes; n = 139 and 161 leaves 17,000 postings unused</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 Workforce intelligence audit</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Do market demand, progression and senior success point the same way?</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4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Selected.</w:t>
            </w:r>
            <w:r>
              <w:rPr>
                <w:rFonts w:ascii="Times New Roman" w:cs="Times New Roman" w:eastAsia="Times New Roman" w:hAnsi="Times New Roman"/>
                <w:sz w:val="20"/>
                <w:szCs w:val="20"/>
              </w:rPr>
              <w:t xml:space="preserve"> Uses every file at its own unit of analysis and yields a falsifiable organising hypothesis</w:t>
            </w:r>
          </w:p>
        </w:tc>
      </w:tr>
    </w:tbl>
    <w:p>
      <w:pPr>
        <w:pStyle w:val="Heading2"/>
        <w:keepNext/>
      </w:pPr>
      <w:r>
        <w:rPr>
          <w:rFonts w:ascii="Times New Roman" w:cs="Times New Roman" w:eastAsia="Times New Roman" w:hAnsi="Times New Roman"/>
        </w:rPr>
        <w:t xml:space="preserve">1.2 Selected problem</w:t>
      </w:r>
    </w:p>
    <w:p>
      <w:pPr>
        <w:spacing w:after="100" w:before="40" w:line="24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be posting-level market evidence (salary, experience, role, company, location),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the skill content of postings,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{(x_i, y_i)} the junior records with five skill scores x_i on a 1 to 5 scale and hike label y_i,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{(z_j, t_j)} the senior records with five normalised traits z_j and success label t_j. No identifier links M, K, J and S. The analytics objective is to estimate, with uncertainty and without a row-level join: (i) the role-conditional structure of demand and salary in M and K; (ii) the association between each skill dimension and y in J; (iii) the functional form (additive, quadratic or interactive) of the association between traits and t in S; and (iv) whether a technical-by-communication complementarity appears in all three.</w:t>
      </w:r>
    </w:p>
    <w:p>
      <w:pPr>
        <w:spacing w:after="100" w:before="0" w:line="240"/>
        <w:jc w:val="both"/>
      </w:pPr>
      <w:r>
        <w:rPr>
          <w:rFonts w:ascii="Times New Roman" w:cs="Times New Roman" w:eastAsia="Times New Roman" w:hAnsi="Times New Roman"/>
          <w:b/>
          <w:bCs/>
          <w:sz w:val="24"/>
          <w:szCs w:val="24"/>
        </w:rPr>
        <w:t xml:space="preserve">Headline question.</w:t>
      </w:r>
      <w:r>
        <w:rPr>
          <w:rFonts w:ascii="Times New Roman" w:cs="Times New Roman" w:eastAsia="Times New Roman" w:hAnsi="Times New Roman"/>
          <w:sz w:val="24"/>
          <w:szCs w:val="24"/>
        </w:rPr>
        <w:t xml:space="preserve"> Where the market pays a premium for technical skill, does it pay more when that skill is paired with communication skill, and do the junior and senior files show the same pattern?</w:t>
      </w:r>
    </w:p>
    <w:p>
      <w:pPr>
        <w:pStyle w:val="Heading2"/>
        <w:keepNext/>
      </w:pPr>
      <w:r>
        <w:rPr>
          <w:rFonts w:ascii="Times New Roman" w:cs="Times New Roman" w:eastAsia="Times New Roman" w:hAnsi="Times New Roman"/>
        </w:rPr>
        <w:t xml:space="preserve">1.3 Objectives</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O1. Audit.</w:t>
      </w:r>
      <w:r>
        <w:rPr>
          <w:rFonts w:ascii="Times New Roman" w:cs="Times New Roman" w:eastAsia="Times New Roman" w:hAnsi="Times New Roman"/>
          <w:sz w:val="24"/>
          <w:szCs w:val="24"/>
        </w:rPr>
        <w:t xml:space="preserve"> Produce reproducible clean tables for all four files, with a ledger recording the original state, transformation, reason and affected rows for every change.</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O2. Normalise skills.</w:t>
      </w:r>
      <w:r>
        <w:rPr>
          <w:rFonts w:ascii="Times New Roman" w:cs="Times New Roman" w:eastAsia="Times New Roman" w:hAnsi="Times New Roman"/>
          <w:sz w:val="24"/>
          <w:szCs w:val="24"/>
        </w:rPr>
        <w:t xml:space="preserve"> Map free-text posting skills to a curated taxonomy of about 300 canonical skills and five JDS-aligned dimensions, reporting precision, recall and F1 with bootstrap intervals against a hand-labelled gold set.</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O3. Market structure.</w:t>
      </w:r>
      <w:r>
        <w:rPr>
          <w:rFonts w:ascii="Times New Roman" w:cs="Times New Roman" w:eastAsia="Times New Roman" w:hAnsi="Times New Roman"/>
          <w:sz w:val="24"/>
          <w:szCs w:val="24"/>
        </w:rPr>
        <w:t xml:space="preserve"> Test H1 to H3 on the posting files with effect sizes and false-discovery control.</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O4. Talent structure.</w:t>
      </w:r>
      <w:r>
        <w:rPr>
          <w:rFonts w:ascii="Times New Roman" w:cs="Times New Roman" w:eastAsia="Times New Roman" w:hAnsi="Times New Roman"/>
          <w:sz w:val="24"/>
          <w:szCs w:val="24"/>
        </w:rPr>
        <w:t xml:space="preserve"> Estimate JDS and SDS associations under nested repeated cross-validation, comparing additive and non-additive models and reporting calibration and conformal coverage.</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O5. Governance.</w:t>
      </w:r>
      <w:r>
        <w:rPr>
          <w:rFonts w:ascii="Times New Roman" w:cs="Times New Roman" w:eastAsia="Times New Roman" w:hAnsi="Times New Roman"/>
          <w:sz w:val="24"/>
          <w:szCs w:val="24"/>
        </w:rPr>
        <w:t xml:space="preserve"> Register every headline claim with provenance, and publish the interpretation rule for each outcome pattern before the final run.</w:t>
      </w:r>
    </w:p>
    <w:p>
      <w:pPr>
        <w:pStyle w:val="Heading2"/>
        <w:keepNext/>
      </w:pPr>
      <w:r>
        <w:rPr>
          <w:rFonts w:ascii="Times New Roman" w:cs="Times New Roman" w:eastAsia="Times New Roman" w:hAnsi="Times New Roman"/>
        </w:rPr>
        <w:t xml:space="preserve">1.4 Hypotheses</w:t>
      </w:r>
    </w:p>
    <w:p>
      <w:pPr>
        <w:keepNext/>
        <w:spacing w:after="60" w:before="120" w:line="240"/>
        <w:jc w:val="left"/>
      </w:pPr>
      <w:r>
        <w:rPr>
          <w:rFonts w:ascii="Times New Roman" w:cs="Times New Roman" w:eastAsia="Times New Roman" w:hAnsi="Times New Roman"/>
          <w:i/>
          <w:iCs/>
          <w:sz w:val="20"/>
          <w:szCs w:val="20"/>
        </w:rPr>
        <w:t xml:space="preserve">Table 3. Pre-specified hypotheses, tests and falsification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1100"/>
        <w:gridCol w:w="2900"/>
        <w:gridCol w:w="200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ID</w:t>
            </w:r>
          </w:p>
        </w:tc>
        <w:tc>
          <w:tcPr>
            <w:tcW w:type="dxa" w:w="2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Statement</w:t>
            </w:r>
          </w:p>
        </w:tc>
        <w:tc>
          <w:tcPr>
            <w:tcW w:type="dxa" w:w="11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Data</w:t>
            </w:r>
          </w:p>
        </w:tc>
        <w:tc>
          <w:tcPr>
            <w:tcW w:type="dxa" w:w="2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Test</w:t>
            </w:r>
          </w:p>
        </w:tc>
        <w:tc>
          <w:tcPr>
            <w:tcW w:type="dxa" w:w="200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Falsified if</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 families differ in demand and salary profiles</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Kruskal-Wallis on log salary by role family, epsilon-squared, Dunn with Holm; mixed model with company random intercept</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 effect interval includes 0 after the company term</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 requirements are role-specific, not uniform</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Log-odds ratio with informative Dirichlet prior per skill and role; 1,000 role-label permutations; FDR q &lt; 0.05</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 of specific skills is within the permutation null</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Technical-by-communication complementarity in advertised salary</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 salary ~ role + experience + location + T + C + T×C, robust SE; quantile regression at 0.25, 0.5, 0.75</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Interaction interval includes 0 and sign is unstable across quantiles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The same complementarity in the junior hike label</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Firth logistic, storytelling × maths-statistics versus additive, likelihood-ratio test; bootstrap; power simulation</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LRT p ≥ 0.05 with interval including 0 (report minimum detectable effect)</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Trait-success association in SDS is non-additive</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Additive logistic versus quadratic and pairwise logistic, EBM, depth-3 tree; nested repeated CV; corrected resampled t-test</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non-additive model beats additive with a ΔAUC interval excluding 0</w:t>
            </w:r>
          </w:p>
        </w:tc>
      </w:tr>
    </w:tbl>
    <w:p>
      <w:pPr>
        <w:spacing w:after="100" w:before="100" w:line="240"/>
        <w:jc w:val="both"/>
      </w:pPr>
      <w:r>
        <w:rPr>
          <w:rFonts w:ascii="Times New Roman" w:cs="Times New Roman" w:eastAsia="Times New Roman" w:hAnsi="Times New Roman"/>
          <w:sz w:val="24"/>
          <w:szCs w:val="24"/>
        </w:rPr>
        <w:t xml:space="preserve">A descriptive alignment analysis (Section 4.9) compares, for each of the five dimensions, its demand share in postings with its standardised association with the JDS hike label. Five points cannot support a rank-correlation test, so this analysis is reported as paired estimates with bootstrap intervals, not as a hypothesis test.</w:t>
      </w:r>
    </w:p>
    <w:p>
      <w:pPr>
        <w:pStyle w:val="Heading2"/>
        <w:keepNext/>
      </w:pPr>
      <w:r>
        <w:rPr>
          <w:rFonts w:ascii="Times New Roman" w:cs="Times New Roman" w:eastAsia="Times New Roman" w:hAnsi="Times New Roman"/>
        </w:rPr>
        <w:t xml:space="preserve">1.5 Scope and non-goals</w:t>
      </w:r>
    </w:p>
    <w:p>
      <w:pPr>
        <w:spacing w:after="100" w:before="0" w:line="240"/>
        <w:jc w:val="both"/>
      </w:pPr>
      <w:r>
        <w:rPr>
          <w:rFonts w:ascii="Times New Roman" w:cs="Times New Roman" w:eastAsia="Times New Roman" w:hAnsi="Times New Roman"/>
          <w:sz w:val="24"/>
          <w:szCs w:val="24"/>
        </w:rPr>
        <w:t xml:space="preserve">The study is observational. We do not estimate causal effects, produce individual-level predictions or recommendations, infer time trends (the posting files do not provide the temporal granularity for them), or link rows across files. The classifiers exist to measure how much signal the features carry and in what functional form; they are not deployed scorers.</w:t>
      </w:r>
    </w:p>
    <w:p>
      <w:pPr>
        <w:pStyle w:val="Heading1"/>
        <w:keepNext/>
      </w:pPr>
      <w:r>
        <w:rPr>
          <w:rFonts w:ascii="Times New Roman" w:cs="Times New Roman" w:eastAsia="Times New Roman" w:hAnsi="Times New Roman"/>
        </w:rPr>
        <w:t xml:space="preserve">2. Analytical Approach</w:t>
      </w:r>
    </w:p>
    <w:p>
      <w:pPr>
        <w:pStyle w:val="Heading2"/>
        <w:keepNext/>
      </w:pPr>
      <w:r>
        <w:rPr>
          <w:rFonts w:ascii="Times New Roman" w:cs="Times New Roman" w:eastAsia="Times New Roman" w:hAnsi="Times New Roman"/>
        </w:rPr>
        <w:t xml:space="preserve">2.1 Evidence classes and the no-false-join rule</w:t>
      </w:r>
    </w:p>
    <w:p>
      <w:pPr>
        <w:spacing w:after="100" w:before="0" w:line="240"/>
        <w:jc w:val="both"/>
      </w:pPr>
      <w:r>
        <w:rPr>
          <w:rFonts w:ascii="Times New Roman" w:cs="Times New Roman" w:eastAsia="Times New Roman" w:hAnsi="Times New Roman"/>
          <w:sz w:val="24"/>
          <w:szCs w:val="24"/>
        </w:rPr>
        <w:t xml:space="preserve">Every table and figure carries one of three tags. </w:t>
      </w:r>
      <w:r>
        <w:rPr>
          <w:rFonts w:ascii="Times New Roman" w:cs="Times New Roman" w:eastAsia="Times New Roman" w:hAnsi="Times New Roman"/>
          <w:b/>
          <w:bCs/>
          <w:sz w:val="24"/>
          <w:szCs w:val="24"/>
        </w:rPr>
        <w:t xml:space="preserve">Observed (O):</w:t>
      </w:r>
      <w:r>
        <w:rPr>
          <w:rFonts w:ascii="Times New Roman" w:cs="Times New Roman" w:eastAsia="Times New Roman" w:hAnsi="Times New Roman"/>
          <w:sz w:val="24"/>
          <w:szCs w:val="24"/>
        </w:rPr>
        <w:t xml:space="preserve"> computed from the supplied rows. </w:t>
      </w:r>
      <w:r>
        <w:rPr>
          <w:rFonts w:ascii="Times New Roman" w:cs="Times New Roman" w:eastAsia="Times New Roman" w:hAnsi="Times New Roman"/>
          <w:b/>
          <w:bCs/>
          <w:sz w:val="24"/>
          <w:szCs w:val="24"/>
        </w:rPr>
        <w:t xml:space="preserve">External (E):</w:t>
      </w:r>
      <w:r>
        <w:rPr>
          <w:rFonts w:ascii="Times New Roman" w:cs="Times New Roman" w:eastAsia="Times New Roman" w:hAnsi="Times New Roman"/>
          <w:sz w:val="24"/>
          <w:szCs w:val="24"/>
        </w:rPr>
        <w:t xml:space="preserve"> taxonomy or prior knowledge, never allowed to alter observed rows. </w:t>
      </w:r>
      <w:r>
        <w:rPr>
          <w:rFonts w:ascii="Times New Roman" w:cs="Times New Roman" w:eastAsia="Times New Roman" w:hAnsi="Times New Roman"/>
          <w:b/>
          <w:bCs/>
          <w:sz w:val="24"/>
          <w:szCs w:val="24"/>
        </w:rPr>
        <w:t xml:space="preserve">Model-derived (M):</w:t>
      </w:r>
      <w:r>
        <w:rPr>
          <w:rFonts w:ascii="Times New Roman" w:cs="Times New Roman" w:eastAsia="Times New Roman" w:hAnsi="Times New Roman"/>
          <w:sz w:val="24"/>
          <w:szCs w:val="24"/>
        </w:rPr>
        <w:t xml:space="preserve"> an estimate, prediction or explanation. Because no person or posting identifier spans the files, the datasets meet only at shared constructs (role family, skill dimension, seniority), never at rows (Figure 2). An alignment claim may state that a dimension has demand share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in postings and association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with the JDS label; it may not state that the skill causes promotion.</w:t>
      </w:r>
    </w:p>
    <w:p>
      <w:pPr>
        <w:keepNext/>
        <w:spacing w:after="0" w:before="80"/>
        <w:jc w:val="center"/>
      </w:pPr>
      <w:r>
        <w:drawing>
          <wp:inline distT="0" distB="0" distL="0" distR="0">
            <wp:extent cx="5334000" cy="2952750"/>
            <wp:effectExtent t="0" r="0" b="0" l="0"/>
            <wp:docPr id="1" name="Figure 2. Datasets meet at constructs, never at rows. Dashed amber nodes are the only shared objects." descr="Figure 2. Datasets meet at constructs, never at rows. Dashed amber nodes are the only shared objects." title="Figure 2. Datasets meet at constructs, never at rows. Dashed amber nodes are the only shar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527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2. Datasets meet at constructs, never at rows. Dashed amber nodes are the only shared objects.</w:t>
      </w:r>
    </w:p>
    <w:p>
      <w:pPr>
        <w:pStyle w:val="Heading2"/>
        <w:keepNext/>
      </w:pPr>
      <w:r>
        <w:rPr>
          <w:rFonts w:ascii="Times New Roman" w:cs="Times New Roman" w:eastAsia="Times New Roman" w:hAnsi="Times New Roman"/>
        </w:rPr>
        <w:t xml:space="preserve">2.2 Architecture</w:t>
      </w:r>
    </w:p>
    <w:p>
      <w:pPr>
        <w:spacing w:after="100" w:before="0" w:line="240"/>
        <w:jc w:val="both"/>
      </w:pPr>
      <w:r>
        <w:rPr>
          <w:rFonts w:ascii="Times New Roman" w:cs="Times New Roman" w:eastAsia="Times New Roman" w:hAnsi="Times New Roman"/>
          <w:sz w:val="24"/>
          <w:szCs w:val="24"/>
        </w:rPr>
        <w:t xml:space="preserve">Figure 1 shows the pipeline. Module M0 audits and cleans all files. Four evidence lanes then run in isolation: each lane reads only its own cleaned tables and writes only to the registry. The lanes never share intermediate objects, which is how leakage between files is prevented by construction. The design is adapted from FIRMHIVE, a recursive agent framework for firmware analysis built from a Tree of Agents whose nodes are context-isolated, plus a persistent knowledge hub. We keep the two ideas that matter for governance (isolation, shared persistent record) and drop the language-model agents: each node is a deterministic script, so every number can be regenerated with one command and no node can invent a conclusion.</w:t>
      </w:r>
    </w:p>
    <w:p>
      <w:pPr>
        <w:keepNext/>
        <w:spacing w:after="0" w:before="80"/>
        <w:jc w:val="center"/>
      </w:pPr>
      <w:r>
        <w:drawing>
          <wp:inline distT="0" distB="0" distL="0" distR="0">
            <wp:extent cx="5619750" cy="4171950"/>
            <wp:effectExtent t="0" r="0" b="0" l="0"/>
            <wp:docPr id="1" name="Figure 1. Evidence-lane architecture. Green arrows write to the registry; the auditor gates everything that reaches the note." descr="Figure 1. Evidence-lane architecture. Green arrows write to the registry; the auditor gates everything that reaches the note." title="Figure 1. Evidence-lane architecture. Green arrows write to the registry; the auditor gates everything that reaches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1719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1. Evidence-lane architecture. Green arrows write to the registry; the auditor gates everything that reaches the note.</w:t>
      </w:r>
    </w:p>
    <w:p>
      <w:pPr>
        <w:keepNext/>
        <w:spacing w:after="60" w:before="120" w:line="240"/>
        <w:jc w:val="left"/>
      </w:pPr>
      <w:r>
        <w:rPr>
          <w:rFonts w:ascii="Times New Roman" w:cs="Times New Roman" w:eastAsia="Times New Roman" w:hAnsi="Times New Roman"/>
          <w:i/>
          <w:iCs/>
          <w:sz w:val="20"/>
          <w:szCs w:val="20"/>
        </w:rPr>
        <w:t xml:space="preserve">Table 4. Modules, inputs, outputs and isolation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50"/>
        <w:gridCol w:w="3276"/>
      </w:tblGrid>
      <w:tr>
        <w:trPr>
          <w:cantSplit/>
          <w:tblHeader/>
        </w:trPr>
        <w:tc>
          <w:tcPr>
            <w:tcW w:type="dxa" w:w="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Module</w:t>
            </w:r>
          </w:p>
        </w:tc>
        <w:tc>
          <w:tcPr>
            <w:tcW w:type="dxa" w:w="2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Input</w:t>
            </w:r>
          </w:p>
        </w:tc>
        <w:tc>
          <w:tcPr>
            <w:tcW w:type="dxa" w:w="28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Output</w:t>
            </w:r>
          </w:p>
        </w:tc>
        <w:tc>
          <w:tcPr>
            <w:tcW w:type="dxa" w:w="32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Isolation rule</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M0</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Four raw files</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Clean tables, ledger, quarantine tables, leakage report</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files read-only; every change ledgered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M1 Market</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 Analytics Jobs (role, salary, experience, location)</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 estimates, Career Opportunity Frontier inputs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JDS or SDS access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M2 Skill</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 text; taxonomy (E)</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Canonical skills, role specificity, graph, Signal Index, H2 and H3</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Taxonomy built with no outcome labels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M3 Junior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only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 benchmark, calibration, conformal sets, explanations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data enters only as dimension demand share, after modelling</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M4 Senior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 only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 forensics, benchmark, calibration, explanations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other file read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M5 Registry</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Claim records from M1 to M4</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Single source for all numbers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Append-only; versioned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M6 Auditor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Registry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Accept or reject per claim, with reason</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Blocks rendering of rejected claims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M7 Views</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Accepted claims</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Note tables and figures; dashboard</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Read-only</w:t>
            </w:r>
          </w:p>
        </w:tc>
      </w:tr>
    </w:tbl>
    <w:p>
      <w:pPr>
        <w:pStyle w:val="Heading2"/>
        <w:keepNext/>
      </w:pPr>
      <w:r>
        <w:rPr>
          <w:rFonts w:ascii="Times New Roman" w:cs="Times New Roman" w:eastAsia="Times New Roman" w:hAnsi="Times New Roman"/>
        </w:rPr>
        <w:t xml:space="preserve">2.3 The construct bridge</w:t>
      </w:r>
    </w:p>
    <w:p>
      <w:pPr>
        <w:spacing w:after="100" w:before="40" w:line="240"/>
        <w:jc w:val="both"/>
      </w:pPr>
      <w:r>
        <w:rPr>
          <w:rFonts w:ascii="Times New Roman" w:cs="Times New Roman" w:eastAsia="Times New Roman" w:hAnsi="Times New Roman"/>
          <w:sz w:val="24"/>
          <w:szCs w:val="24"/>
        </w:rPr>
        <w:t xml:space="preserve">JDS records five skill dimensions: big data, mathematics and statistics, coding, AI and machine learning, and dashboard and storytelling. We map every canonical skill extracted from postings onto the same five, plus an explicit </w:t>
      </w:r>
      <w:r>
        <w:rPr>
          <w:rFonts w:ascii="Times New Roman" w:cs="Times New Roman" w:eastAsia="Times New Roman" w:hAnsi="Times New Roman"/>
          <w:i/>
          <w:iCs/>
          <w:sz w:val="24"/>
          <w:szCs w:val="24"/>
        </w:rPr>
        <w:t xml:space="preserve">unmapped</w:t>
      </w:r>
      <w:r>
        <w:rPr>
          <w:rFonts w:ascii="Times New Roman" w:cs="Times New Roman" w:eastAsia="Times New Roman" w:hAnsi="Times New Roman"/>
          <w:sz w:val="24"/>
          <w:szCs w:val="24"/>
        </w:rPr>
        <w:t xml:space="preserve"> bucket, using the rules in Table 10. This is the only quantity that crosses lanes, and it is the place the framework is most exposed: the JDS dimensions are named in the data dictionary but their item content is not documented, so our mapping is a construct we impose. Two controls apply. The mapping is scored against a hand-labelled gold set. And every ambiguous skill (SQL is the standard case) is reassigned at random in 1,000 draws to show how much any alignment estimate depends on the assignment.</w:t>
      </w:r>
    </w:p>
    <w:p>
      <w:pPr>
        <w:pStyle w:val="Heading2"/>
        <w:keepNext/>
      </w:pPr>
      <w:r>
        <w:rPr>
          <w:rFonts w:ascii="Times New Roman" w:cs="Times New Roman" w:eastAsia="Times New Roman" w:hAnsi="Times New Roman"/>
        </w:rPr>
        <w:t xml:space="preserve">2.4 Validation protocol</w:t>
      </w:r>
    </w:p>
    <w:p>
      <w:pPr>
        <w:spacing w:after="100" w:before="0" w:line="240"/>
        <w:jc w:val="both"/>
      </w:pPr>
      <w:r>
        <w:rPr>
          <w:rFonts w:ascii="Times New Roman" w:cs="Times New Roman" w:eastAsia="Times New Roman" w:hAnsi="Times New Roman"/>
          <w:sz w:val="24"/>
          <w:szCs w:val="24"/>
        </w:rPr>
        <w:t xml:space="preserve">All supervised results use the protocol in Figure 3. Preprocessing, tuning and calibration sit inside the training folds, and the sealed outer fold is touched only at prediction time. We use repeated stratified k-fold rather than leave-one-out for model selection because leave-one-out estimates have high variance and pooled AUC across single-row folds is not a valid statistic. Class prevalence in JDS is about 52.5% versus 47.5%, so oversampling would add synthetic rows without correcting a real imbalance, and it is not used.</w:t>
      </w:r>
    </w:p>
    <w:p>
      <w:pPr>
        <w:keepNext/>
        <w:spacing w:after="0" w:before="80"/>
        <w:jc w:val="center"/>
      </w:pPr>
      <w:r>
        <w:drawing>
          <wp:inline distT="0" distB="0" distL="0" distR="0">
            <wp:extent cx="5334000" cy="2371725"/>
            <wp:effectExtent t="0" r="0" b="0" l="0"/>
            <wp:docPr id="1" name="Figure 3. Nested, repeated, stratified validation with all fitting inside the training folds." descr="Figure 3. Nested, repeated, stratified validation with all fitting inside the training folds." title="Figure 3. Nested, repeated, stratified validation with all fitting inside the training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3. Nested, repeated, stratified validation with all fitting inside the training folds.</w:t>
      </w:r>
    </w:p>
    <w:p>
      <w:pPr>
        <w:pStyle w:val="Heading2"/>
        <w:keepNext/>
      </w:pPr>
      <w:r>
        <w:rPr>
          <w:rFonts w:ascii="Times New Roman" w:cs="Times New Roman" w:eastAsia="Times New Roman" w:hAnsi="Times New Roman"/>
        </w:rPr>
        <w:t xml:space="preserve">2.5 Why each method, and when we drop it</w:t>
      </w:r>
    </w:p>
    <w:p>
      <w:pPr>
        <w:spacing w:after="60" w:before="0" w:line="240"/>
        <w:jc w:val="both"/>
      </w:pPr>
      <w:r>
        <w:rPr>
          <w:rFonts w:ascii="Times New Roman" w:cs="Times New Roman" w:eastAsia="Times New Roman" w:hAnsi="Times New Roman"/>
          <w:sz w:val="24"/>
          <w:szCs w:val="24"/>
        </w:rPr>
        <w:t xml:space="preserve">Each component must beat a simpler alternative on a pre-stated criterion or it is removed from the final system and reported as a negative result.</w:t>
      </w:r>
    </w:p>
    <w:p>
      <w:pPr>
        <w:keepNext/>
        <w:spacing w:after="60" w:before="120" w:line="240"/>
        <w:jc w:val="left"/>
      </w:pPr>
      <w:r>
        <w:rPr>
          <w:rFonts w:ascii="Times New Roman" w:cs="Times New Roman" w:eastAsia="Times New Roman" w:hAnsi="Times New Roman"/>
          <w:i/>
          <w:iCs/>
          <w:sz w:val="20"/>
          <w:szCs w:val="20"/>
        </w:rPr>
        <w:t xml:space="preserve">Table 5. Method justification and keep-or-drop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00"/>
        <w:gridCol w:w="2926"/>
      </w:tblGrid>
      <w:tr>
        <w:trPr>
          <w:cantSplit/>
          <w:tblHeader/>
        </w:trPr>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Method</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Question it answers</w:t>
            </w:r>
          </w:p>
        </w:tc>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Simpler alternative</w:t>
            </w:r>
          </w:p>
        </w:tc>
        <w:tc>
          <w:tcPr>
            <w:tcW w:type="dxa" w:w="29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Kept only if</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Curated taxonomy + alias and fuzzy matching</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What canonical skill does a string denote?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string counts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Gold-set F1 exceeds raw matching with non-overlapping intervals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TF-IDF and sentence embeddings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Does semantics add recall beyond the dictionary?</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Dictionary only</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ΔF1 interval excludes 0 on the gold set</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Log-odds with informative prior</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Which skills are role-specific?</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frequency ratios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Stabilises rare-skill estimates (rank agreement with permutation null)</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NPMI graph + Leiden at several resolutions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Which skills travel together?</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Pairwise counts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Masked-skill prediction beats a frequency baseline</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Mixed model with company term</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role differences survive company clustering?</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OLS on pooled rows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Company variance share is material</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Firth logistic</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Stable coefficients at n = 139</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Plain logistic</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Plain logistic shows separation or inflated coefficients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EBM</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Shape of each effect, with interactions</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GBM plus SHAP</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Matches GBM AUC within interval while giving direct shapes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TabPFN (if weights run offline)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Is a small-data foundation model a stronger baseline?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Tuned logistic regression</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Paired ΔAUC interval excludes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on out-of-fold predictions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model families complement each other?</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single model</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Paired ΔAUC interval excludes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Platt calibration, bootstrap ECE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Are probabilities trustworthy?</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probabilities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Brier or ECE improves with interval excluding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Conformal prediction sets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Honest uncertainty per case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Point probability</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Empirical coverage within tolerance of 1 − α</w:t>
            </w:r>
          </w:p>
        </w:tc>
      </w:tr>
    </w:tbl>
    <w:p>
      <w:pPr>
        <w:pStyle w:val="Heading2"/>
        <w:keepNext/>
      </w:pPr>
      <w:r>
        <w:rPr>
          <w:rFonts w:ascii="Times New Roman" w:cs="Times New Roman" w:eastAsia="Times New Roman" w:hAnsi="Times New Roman"/>
        </w:rPr>
        <w:t xml:space="preserve">2.6 Evidence Registry and Auditor</w:t>
      </w:r>
    </w:p>
    <w:p>
      <w:pPr>
        <w:spacing w:after="100" w:before="40" w:line="240"/>
        <w:jc w:val="both"/>
      </w:pPr>
      <w:r>
        <w:rPr>
          <w:rFonts w:ascii="Times New Roman" w:cs="Times New Roman" w:eastAsia="Times New Roman" w:hAnsi="Times New Roman"/>
          <w:sz w:val="24"/>
          <w:szCs w:val="24"/>
        </w:rPr>
        <w:t xml:space="preserve">Every headline number is a registry record (Appendix C): claim id, statement, dataset, evidence tag, method, metric, value, 95% interval, n, limitation and code reference. The note is rendered from the registry, so a number cannot drift from the code that produced it. The auditor enforces six rules: </w:t>
      </w: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all fields present; </w:t>
      </w: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every numeric claim carries an interval or an exact n; </w:t>
      </w: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a language lint rejects causal verbs (causes, drives, leads to, ensures, proves) and individual-outcome phrasing (will succeed); </w:t>
      </w:r>
      <w:r>
        <w:rPr>
          <w:rFonts w:ascii="Times New Roman" w:cs="Times New Roman" w:eastAsia="Times New Roman" w:hAnsi="Times New Roman"/>
          <w:b/>
          <w:bCs/>
          <w:sz w:val="24"/>
          <w:szCs w:val="24"/>
        </w:rPr>
        <w:t xml:space="preserve">A4</w:t>
      </w:r>
      <w:r>
        <w:rPr>
          <w:rFonts w:ascii="Times New Roman" w:cs="Times New Roman" w:eastAsia="Times New Roman" w:hAnsi="Times New Roman"/>
          <w:sz w:val="24"/>
          <w:szCs w:val="24"/>
        </w:rPr>
        <w:t xml:space="preserve"> a claim cites one lane's dataset unless it is typed </w:t>
      </w:r>
      <w:r>
        <w:rPr>
          <w:rFonts w:ascii="Times New Roman" w:cs="Times New Roman" w:eastAsia="Times New Roman" w:hAnsi="Times New Roman"/>
          <w:i/>
          <w:iCs/>
          <w:sz w:val="24"/>
          <w:szCs w:val="24"/>
        </w:rPr>
        <w:t xml:space="preserve">alignment</w:t>
      </w:r>
      <w:r>
        <w:rPr>
          <w:rFonts w:ascii="Times New Roman" w:cs="Times New Roman" w:eastAsia="Times New Roman" w:hAnsi="Times New Roman"/>
          <w:sz w:val="24"/>
          <w:szCs w:val="24"/>
        </w:rPr>
        <w:t xml:space="preserve"> and names the bridge construct; </w:t>
      </w:r>
      <w:r>
        <w:rPr>
          <w:rFonts w:ascii="Times New Roman" w:cs="Times New Roman" w:eastAsia="Times New Roman" w:hAnsi="Times New Roman"/>
          <w:b/>
          <w:bCs/>
          <w:sz w:val="24"/>
          <w:szCs w:val="24"/>
        </w:rPr>
        <w:t xml:space="preserve">A5</w:t>
      </w:r>
      <w:r>
        <w:rPr>
          <w:rFonts w:ascii="Times New Roman" w:cs="Times New Roman" w:eastAsia="Times New Roman" w:hAnsi="Times New Roman"/>
          <w:sz w:val="24"/>
          <w:szCs w:val="24"/>
        </w:rPr>
        <w:t xml:space="preserve"> the code reference resolves and a rerun reproduces the value; </w:t>
      </w:r>
      <w:r>
        <w:rPr>
          <w:rFonts w:ascii="Times New Roman" w:cs="Times New Roman" w:eastAsia="Times New Roman" w:hAnsi="Times New Roman"/>
          <w:b/>
          <w:bCs/>
          <w:sz w:val="24"/>
          <w:szCs w:val="24"/>
        </w:rPr>
        <w:t xml:space="preserve">A6</w:t>
      </w:r>
      <w:r>
        <w:rPr>
          <w:rFonts w:ascii="Times New Roman" w:cs="Times New Roman" w:eastAsia="Times New Roman" w:hAnsi="Times New Roman"/>
          <w:sz w:val="24"/>
          <w:szCs w:val="24"/>
        </w:rPr>
        <w:t xml:space="preserve"> an evidence tag is present.</w:t>
      </w:r>
    </w:p>
    <w:p>
      <w:pPr>
        <w:pStyle w:val="Heading1"/>
        <w:keepNext/>
      </w:pPr>
      <w:r>
        <w:rPr>
          <w:rFonts w:ascii="Times New Roman" w:cs="Times New Roman" w:eastAsia="Times New Roman" w:hAnsi="Times New Roman"/>
        </w:rPr>
        <w:t xml:space="preserve">3. Data Exploration and Preparation</w:t>
      </w:r>
    </w:p>
    <w:p>
      <w:pPr>
        <w:pStyle w:val="Heading2"/>
        <w:keepNext/>
      </w:pPr>
      <w:r>
        <w:rPr>
          <w:rFonts w:ascii="Times New Roman" w:cs="Times New Roman" w:eastAsia="Times New Roman" w:hAnsi="Times New Roman"/>
        </w:rPr>
        <w:t xml:space="preserve">3.1 Inventory</w:t>
      </w:r>
    </w:p>
    <w:p>
      <w:pPr>
        <w:keepNext/>
        <w:spacing w:after="60" w:before="120" w:line="240"/>
        <w:jc w:val="left"/>
      </w:pPr>
      <w:r>
        <w:rPr>
          <w:rFonts w:ascii="Times New Roman" w:cs="Times New Roman" w:eastAsia="Times New Roman" w:hAnsi="Times New Roman"/>
          <w:i/>
          <w:iCs/>
          <w:sz w:val="20"/>
          <w:szCs w:val="20"/>
        </w:rPr>
        <w:t xml:space="preserve">Table 6. The four files as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900"/>
        <w:gridCol w:w="2526"/>
        <w:gridCol w:w="1800"/>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File</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Shape</w:t>
            </w:r>
          </w:p>
        </w:tc>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Unit</w:t>
            </w:r>
          </w:p>
        </w:tc>
        <w:tc>
          <w:tcPr>
            <w:tcW w:type="dxa" w:w="2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Fields</w:t>
            </w:r>
          </w:p>
        </w:tc>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Outcome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Jobs.csv</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1,602 × 8</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by company</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reference_no, company_name, job_title, min_experience, avg_salary, min_salary, max_salary, num_of_jobs</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Jobs.csv</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15,841 × 8</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s_no, experience, job_description, job_desig, job_type, key_skills, location, salary</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Skill Traits.xlsx</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139 × 7</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Junior professional</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big data, maths-stats, coding, AI and ML, dashboard and storytelling (1 to 5)</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 hike high (1) or low (0)</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 Personality Traits.xlsx</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161 × 7</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Senior professional</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neuroticism, extraversion, openness, agreeableness, conscientiousness (normalised)</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Success high or low</w:t>
            </w:r>
          </w:p>
        </w:tc>
      </w:tr>
    </w:tbl>
    <w:p>
      <w:pPr>
        <w:spacing w:after="100" w:before="100" w:line="240"/>
        <w:jc w:val="both"/>
      </w:pPr>
      <w:r>
        <w:rPr>
          <w:rFonts w:ascii="Times New Roman" w:cs="Times New Roman" w:eastAsia="Times New Roman" w:hAnsi="Times New Roman"/>
          <w:sz w:val="24"/>
          <w:szCs w:val="24"/>
        </w:rPr>
        <w:t xml:space="preserve">The salary strings in DataScience Jobs take the form 7.8L, and the file has about 1,460 distinct reference numbers across 1,602 rows. We do not assume repeated identifiers are errors: they are inspected field by field before any collapse (ledger L02). The organizers describe the posting files as 2024 to 2025 data without dates, so no trend analysis is attempted.</w:t>
      </w:r>
    </w:p>
    <w:p>
      <w:pPr>
        <w:pStyle w:val="Heading2"/>
        <w:keepNext/>
      </w:pPr>
      <w:r>
        <w:rPr>
          <w:rFonts w:ascii="Times New Roman" w:cs="Times New Roman" w:eastAsia="Times New Roman" w:hAnsi="Times New Roman"/>
        </w:rPr>
        <w:t xml:space="preserve">3.2 Audit protocol</w:t>
      </w:r>
    </w:p>
    <w:p>
      <w:pPr>
        <w:keepNext/>
        <w:spacing w:after="60" w:before="120" w:line="240"/>
        <w:jc w:val="left"/>
      </w:pPr>
      <w:r>
        <w:rPr>
          <w:rFonts w:ascii="Times New Roman" w:cs="Times New Roman" w:eastAsia="Times New Roman" w:hAnsi="Times New Roman"/>
          <w:i/>
          <w:iCs/>
          <w:sz w:val="20"/>
          <w:szCs w:val="20"/>
        </w:rPr>
        <w:t xml:space="preserve">Table 7. Audit checks, methods and action rules. Every action is written to the cleaning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50"/>
        <w:gridCol w:w="3776"/>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Check</w:t>
            </w:r>
          </w:p>
        </w:tc>
        <w:tc>
          <w:tcPr>
            <w:tcW w:type="dxa" w:w="34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Method</w:t>
            </w:r>
          </w:p>
        </w:tc>
        <w:tc>
          <w:tcPr>
            <w:tcW w:type="dxa" w:w="37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Action rule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Schema and types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Typed assertions per column (dtype, range, regex)</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Violating rows go to a quarantine table with a reason code; no silent coercion</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Missingness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Per-column rate; missingness versus role and company (chi-squared)</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Outcomes never imputed; features get a missing indicator and in-fold median or mode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and near duplicates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on all fields; MinHash Jaccard ≥ 0.90 on title, company and description; repeated reference_no inspected</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duplicates collapsed with count kept; near-duplicates flagged and retained for a sensitivity run</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 strings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Regex per observed format; unit check (lakh per annum); min ≤ average ≤ max</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Non-parsing strings to quarantine; undisclosed to missing plus indicator</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Experience</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Parse ranges and single values; flag reversed ranges and values above 40 years</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Derive midpoint and width; reversed ranges swapped and ledgered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Category variants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NFKC, case-fold, whitespace; Jaro-Winkler ≥ 0.92 clustering; human review of each proposed merge</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Merges recorded as old to new with counts</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 spelling</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Alias table; Levenshtein ratio ≥ 90 against canonical forms; review queue</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Unmapped tokens kept with frequency</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Outliers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Median/MAD robust z on log salary and experience; Tukey fences; Isolation Forest on JDS and SDS matrices as a flag only</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Flagged rows retained; each headline estimate is rerun without them</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Range and scale validity</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scores in 1 to 5; SDS mean, SD and skew per trait against the stated normalisation</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Violations reported; normalisation not assumed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Class balance</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Prevalence with Wilson interval</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Informs stratification only; no resampling</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Rule-likeness forensics (JDS, SDS)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Tie structure, marginals, pairwise independence, depth-2 and depth-3 tree separability, shuffled-target gap</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Report the outcome with a data-structure caveat if a simple rule separates classes</w:t>
            </w:r>
          </w:p>
        </w:tc>
      </w:tr>
    </w:tbl>
    <w:p>
      <w:pPr>
        <w:pStyle w:val="Heading2"/>
        <w:keepNext/>
      </w:pPr>
      <w:r>
        <w:rPr>
          <w:rFonts w:ascii="Times New Roman" w:cs="Times New Roman" w:eastAsia="Times New Roman" w:hAnsi="Times New Roman"/>
        </w:rPr>
        <w:t xml:space="preserve">3.3 Cleaning ledger</w:t>
      </w:r>
    </w:p>
    <w:p>
      <w:pPr>
        <w:spacing w:after="60" w:before="0" w:line="240"/>
        <w:jc w:val="both"/>
      </w:pPr>
      <w:r>
        <w:rPr>
          <w:rFonts w:ascii="Times New Roman" w:cs="Times New Roman" w:eastAsia="Times New Roman" w:hAnsi="Times New Roman"/>
          <w:sz w:val="24"/>
          <w:szCs w:val="24"/>
        </w:rPr>
        <w:t xml:space="preserve">Each transformation is recorded as problem, diagnosis, decision, rows affected and validation, so cleaning is visible analysis rather than hidden preprocessing. Table 8 lists the planned entries; counts are filled by the run.</w:t>
      </w:r>
    </w:p>
    <w:p>
      <w:pPr>
        <w:keepNext/>
        <w:spacing w:after="60" w:before="120" w:line="240"/>
        <w:jc w:val="left"/>
      </w:pPr>
      <w:r>
        <w:rPr>
          <w:rFonts w:ascii="Times New Roman" w:cs="Times New Roman" w:eastAsia="Times New Roman" w:hAnsi="Times New Roman"/>
          <w:i/>
          <w:iCs/>
          <w:sz w:val="20"/>
          <w:szCs w:val="20"/>
        </w:rPr>
        <w:t xml:space="preserve">Table 8. Cleaning ledger (planned entries; counts from the audit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050"/>
        <w:gridCol w:w="1750"/>
        <w:gridCol w:w="1550"/>
        <w:gridCol w:w="1700"/>
        <w:gridCol w:w="800"/>
        <w:gridCol w:w="165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ID</w:t>
            </w:r>
          </w:p>
        </w:tc>
        <w:tc>
          <w:tcPr>
            <w:tcW w:type="dxa" w:w="10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File</w:t>
            </w:r>
          </w:p>
        </w:tc>
        <w:tc>
          <w:tcPr>
            <w:tcW w:type="dxa" w:w="17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Problem</w:t>
            </w:r>
          </w:p>
        </w:tc>
        <w:tc>
          <w:tcPr>
            <w:tcW w:type="dxa" w:w="15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Diagnosis</w:t>
            </w:r>
          </w:p>
        </w:tc>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Decision</w:t>
            </w:r>
          </w:p>
        </w:tc>
        <w:tc>
          <w:tcPr>
            <w:tcW w:type="dxa" w:w="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Rows</w:t>
            </w:r>
          </w:p>
        </w:tc>
        <w:tc>
          <w:tcPr>
            <w:tcW w:type="dxa" w:w="165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L01</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DS Jobs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strings such as 7.8L</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 parse</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Numeric lakh per annum</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0</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Round-trip format check; min ≤ avg ≤ max</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L02</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DS Jobs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Repeated reference_no</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Field comparison within id</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Collapsed to canonical format</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0</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H1 rerun both ways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L03</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formats; undisclosed values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 families; unmatched frequency</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Parse; undisclosed to missing plus indicator</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0</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Role mix of disclosed versus undisclosed (chi-squared)</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L04</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Experience ranges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Min, max, midpoint</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0</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Reversed and implausible counts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L05</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job_desig variants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Jaro-Winkler clusters + review</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Map to role family</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0</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Manual audit of 200 mappings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L06</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key_skills spelling and format</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Alias table + fuzzy match</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Canonical skills</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0</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Gold-set F1</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L07</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JDS, SDS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Spaces in column names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Schema inspection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snake_case in code; originals kept in dictionary</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All</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Schema test</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L08</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JDS, SDS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Duplicate or near-duplicate rows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Exact and Hamming match</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Mapped to canonical skills</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0</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Group-aware CV sensitivity</w:t>
            </w:r>
          </w:p>
        </w:tc>
      </w:tr>
    </w:tbl>
    <w:p>
      <w:pPr>
        <w:pStyle w:val="Heading2"/>
        <w:keepNext/>
      </w:pPr>
      <w:r>
        <w:rPr>
          <w:rFonts w:ascii="Times New Roman" w:cs="Times New Roman" w:eastAsia="Times New Roman" w:hAnsi="Times New Roman"/>
        </w:rPr>
        <w:t xml:space="preserve">3.4 Derived variables</w:t>
      </w:r>
    </w:p>
    <w:p>
      <w:pPr>
        <w:keepNext/>
        <w:spacing w:after="60" w:before="120" w:line="240"/>
        <w:jc w:val="left"/>
      </w:pPr>
      <w:r>
        <w:rPr>
          <w:rFonts w:ascii="Times New Roman" w:cs="Times New Roman" w:eastAsia="Times New Roman" w:hAnsi="Times New Roman"/>
          <w:i/>
          <w:iCs/>
          <w:sz w:val="20"/>
          <w:szCs w:val="20"/>
        </w:rPr>
        <w:t xml:space="preserve">Table 9. Derived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5000"/>
        <w:gridCol w:w="1776"/>
      </w:tblGrid>
      <w:tr>
        <w:trPr>
          <w:cantSplit/>
          <w:tblHeader/>
        </w:trPr>
        <w:tc>
          <w:tcPr>
            <w:tcW w:type="dxa" w:w="22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Variable</w:t>
            </w:r>
          </w:p>
        </w:tc>
        <w:tc>
          <w:tcPr>
            <w:tcW w:type="dxa" w:w="5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Definition</w:t>
            </w:r>
          </w:p>
        </w:tc>
        <w:tc>
          <w:tcPr>
            <w:tcW w:type="dxa" w:w="17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Source</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salary_mid_lpa, log_salary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Mean of min and max when both exist, else average; natural log</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salary_range_ratio</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(max − min) / midpoint</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exp_mid, exp_width</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Midpoint and width of the experience range</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role_family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Rule-based mapping of title tokens (analyst, scientist, engineer, ML, architect, business, other), reviewed by hand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seniority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Ordinal from designation tokens (junior, none, senior, lead, principal, manager)</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n_skills; dim_share_d</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 of mapped skills; share of a posting's mapped skills in dimension 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 C</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 number of technical dimensions requested (0 to 4). C: 1 if a dashboard-and-storytelling or communication skill is requested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demand_intensity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num_of_jobs (openings) per role family and company</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DS Jobs</w:t>
            </w:r>
          </w:p>
        </w:tc>
      </w:tr>
    </w:tbl>
    <w:p>
      <w:pPr>
        <w:pStyle w:val="Heading2"/>
        <w:keepNext/>
      </w:pPr>
      <w:r>
        <w:rPr>
          <w:rFonts w:ascii="Times New Roman" w:cs="Times New Roman" w:eastAsia="Times New Roman" w:hAnsi="Times New Roman"/>
        </w:rPr>
        <w:t xml:space="preserve">3.5 Skill normalisation and the gold set</w:t>
      </w:r>
    </w:p>
    <w:p>
      <w:pPr>
        <w:spacing w:after="60" w:before="0" w:line="240"/>
        <w:jc w:val="both"/>
      </w:pPr>
      <w:r>
        <w:rPr>
          <w:rFonts w:ascii="Times New Roman" w:cs="Times New Roman" w:eastAsia="Times New Roman" w:hAnsi="Times New Roman"/>
          <w:sz w:val="24"/>
          <w:szCs w:val="24"/>
        </w:rPr>
        <w:t xml:space="preserve">Raw key_skills strings are not canonical skills. The pipeline is: clean, tokenise, alias lookup, fuzzy match, canonical skill, dimension, role association. Each output row keeps the original string, canonical skill, dimension, mapping method and confidence. Four representations are benchmarked in order of sophistication: dictionary and regex; TF-IDF with word and character n-grams; sentence-embedding nearest neighbour against the alias table; and, if its weights can be used offline, an ESCO-based extractor. Because the taxonomy is built for Indian technology postings and ESCO is a European taxonomy, ESCO coverage of tool names is itself a reported finding.</w:t>
      </w:r>
    </w:p>
    <w:p>
      <w:pPr>
        <w:spacing w:after="60" w:before="0" w:line="240"/>
        <w:jc w:val="both"/>
      </w:pPr>
      <w:r>
        <w:rPr>
          <w:rFonts w:ascii="Times New Roman" w:cs="Times New Roman" w:eastAsia="Times New Roman" w:hAnsi="Times New Roman"/>
          <w:sz w:val="24"/>
          <w:szCs w:val="24"/>
        </w:rPr>
        <w:t xml:space="preserve">Ground truth does not exist, so we create it: two team members independently label about 250 postings, stratified by role family, and we report Cohen's kappa, then micro and macro precision, recall and F1 with 95% bootstrap intervals, plus coverage (share of tokens mapped). Without the gold set no F1 is claimed.</w:t>
      </w:r>
    </w:p>
    <w:p>
      <w:pPr>
        <w:keepNext/>
        <w:spacing w:after="60" w:before="120" w:line="240"/>
        <w:jc w:val="left"/>
      </w:pPr>
      <w:r>
        <w:rPr>
          <w:rFonts w:ascii="Times New Roman" w:cs="Times New Roman" w:eastAsia="Times New Roman" w:hAnsi="Times New Roman"/>
          <w:i/>
          <w:iCs/>
          <w:sz w:val="20"/>
          <w:szCs w:val="20"/>
        </w:rPr>
        <w:t xml:space="preserve">Table 10. Dimension mapping rules and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Dimension</w:t>
            </w:r>
          </w:p>
        </w:tc>
        <w:tc>
          <w:tcPr>
            <w:tcW w:type="dxa" w:w="3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Example canonical skills</w:t>
            </w:r>
          </w:p>
        </w:tc>
        <w:tc>
          <w:tcPr>
            <w:tcW w:type="dxa" w:w="3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Ambiguity rule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 data</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Hadoop, Spark, Hive, Kafka, data warehousing</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Cloud data platforms included; SQL excluded here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Mathematics and statistics</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Statistics, regression, probability, hypothesis testing, forecasting, optimisation</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Generic 'analytics' not mapped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Coding</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Python, Java, Scala, C++, R, SQL</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SQL assigned here; sensitivity run reassigns to big data</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AI and ML</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Machine learning, deep learning, NLP, computer vision, TensorFlow, PyTorch</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Generic 'AI' with no method named is mapped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Dashboard and storytelling</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Tableau, Power BI, data visualisation, reporting, presentation, stakeholder communication</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Communication is counted in C as well</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Unmapped</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ERP, CRM, project tools, domain systems</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Counted and reported; excluded from T and C</w:t>
            </w:r>
          </w:p>
        </w:tc>
      </w:tr>
    </w:tbl>
    <w:p>
      <w:pPr>
        <w:pStyle w:val="Heading2"/>
        <w:keepNext/>
      </w:pPr>
      <w:r>
        <w:rPr>
          <w:rFonts w:ascii="Times New Roman" w:cs="Times New Roman" w:eastAsia="Times New Roman" w:hAnsi="Times New Roman"/>
        </w:rPr>
        <w:t xml:space="preserve">3.6 Leakage audit</w:t>
      </w:r>
    </w:p>
    <w:p>
      <w:pPr>
        <w:keepNext/>
        <w:spacing w:after="60" w:before="120" w:line="240"/>
        <w:jc w:val="left"/>
      </w:pPr>
      <w:r>
        <w:rPr>
          <w:rFonts w:ascii="Times New Roman" w:cs="Times New Roman" w:eastAsia="Times New Roman" w:hAnsi="Times New Roman"/>
          <w:i/>
          <w:iCs/>
          <w:sz w:val="20"/>
          <w:szCs w:val="20"/>
        </w:rPr>
        <w:t xml:space="preserve">Table 11. Leakage tests. No benchmark is accepted unless every row is PASS or an explained WARN.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300"/>
        <w:gridCol w:w="1526"/>
      </w:tblGrid>
      <w:tr>
        <w:trPr>
          <w:cantSplit/>
          <w:tblHeader/>
        </w:trPr>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Test</w:t>
            </w:r>
          </w:p>
        </w:tc>
        <w:tc>
          <w:tcPr>
            <w:tcW w:type="dxa" w:w="4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What it catches</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Mechanism</w:t>
            </w:r>
          </w:p>
        </w:tc>
        <w:tc>
          <w:tcPr>
            <w:tcW w:type="dxa" w:w="1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Verdict</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LK1</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or index columns used as features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Feature allow-list assertion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LK2</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Duplicate rows straddling outer folds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Group-aware split check</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LK3</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Preprocessing fitted outside the training fold</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Pipeline objects only; code assertion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LK4</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Target-derived or deterministic features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Feature-to-target mapping and correlation screen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LK5</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Calibration data overlapping the scored fold</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Inner out-of-fold calibration only</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LK6</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information reaching the taxonomy</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M2 never reads JDS or SDS</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LK7</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Harness bias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Shuffled-target AUC centred on 0.5</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LK8</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leakage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Meta-learner fitted on out-of-fold predictions only</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w:t>
            </w:r>
          </w:p>
        </w:tc>
      </w:tr>
    </w:tbl>
    <w:p>
      <w:pPr>
        <w:pStyle w:val="Heading2"/>
        <w:keepNext/>
      </w:pPr>
      <w:r>
        <w:rPr>
          <w:rFonts w:ascii="Times New Roman" w:cs="Times New Roman" w:eastAsia="Times New Roman" w:hAnsi="Times New Roman"/>
        </w:rPr>
        <w:t xml:space="preserve">3.7 Exploration figures</w:t>
      </w:r>
    </w:p>
    <w:p>
      <w:pPr>
        <w:spacing w:after="100" w:before="0" w:line="240"/>
        <w:jc w:val="both"/>
      </w:pPr>
      <w:r>
        <w:rPr>
          <w:rFonts w:ascii="Times New Roman" w:cs="Times New Roman" w:eastAsia="Times New Roman" w:hAnsi="Times New Roman"/>
          <w:sz w:val="24"/>
          <w:szCs w:val="24"/>
        </w:rPr>
        <w:t xml:space="preserve">Exploration is organised by hypothesis, not by chart type. Figures F5 to F9 (Appendix B) answer, in order: how salary varies by role family and experience, which skills dominate and for whom, how missingness and undisclosed salary are structured, and what the JDS and SDS marginals and correlations look like. The missingness figure is shown first because undisclosed salary can bias every salary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market_salary_dist.png"/>
                          <pic:cNvPicPr/>
                        </pic:nvPicPr>
                        <pic:blipFill>
                          <a:blip r:embed="rId13"/>
                          <a:stretch>
                            <a:fillRect/>
                          </a:stretch>
                        </pic:blipFill>
                        <pic:spPr>
                          <a:xfrm>
                            <a:off x="0" y="0"/>
                            <a:ext cx="4572000" cy="2743200"/>
                          </a:xfrm>
                          <a:prstGeom prst="rect"/>
                        </pic:spPr>
                      </pic:pic>
                    </a:graphicData>
                  </a:graphic>
                </wp:inline>
              </w:drawing>
              <w:br/>
              <w:t>F5: Salary distribution by role family (in LPA).</w:t>
              <w:br/>
              <w:b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market_experience.png"/>
                          <pic:cNvPicPr/>
                        </pic:nvPicPr>
                        <pic:blipFill>
                          <a:blip r:embed="rId14"/>
                          <a:stretch>
                            <a:fillRect/>
                          </a:stretch>
                        </pic:blipFill>
                        <pic:spPr>
                          <a:xfrm>
                            <a:off x="0" y="0"/>
                            <a:ext cx="4572000" cy="2743200"/>
                          </a:xfrm>
                          <a:prstGeom prst="rect"/>
                        </pic:spPr>
                      </pic:pic>
                    </a:graphicData>
                  </a:graphic>
                </wp:inline>
              </w:drawing>
              <w:br/>
              <w:t>F6: Experience requirement distribution.</w:t>
              <w:br/>
              <w:br/>
            </w:r>
          </w:p>
          <w:p>
            <w:pPr>
              <w:spacing w:after="0" w:line="240"/>
            </w:pPr>
            <w:r>
              <w:rPr>
                <w:rFonts w:ascii="Times New Roman" w:cs="Times New Roman" w:eastAsia="Times New Roman" w:hAnsi="Times New Roman"/>
                <w:sz w:val="19"/>
                <w:szCs w:val="19"/>
              </w:rPr>
              <w:t xml:space="preserve">Left: violin plus median and IQR of log salary (LPA) by role family, n per family, Dunn-Holm brackets. Right: hexbin of experience midpoint versus salary with a LOESS curve per role family and bootstrap bands. Tag: 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market_role_demand.png"/>
                          <pic:cNvPicPr/>
                        </pic:nvPicPr>
                        <pic:blipFill>
                          <a:blip r:embed="rId15"/>
                          <a:stretch>
                            <a:fillRect/>
                          </a:stretch>
                        </pic:blipFill>
                        <pic:spPr>
                          <a:xfrm>
                            <a:off x="0" y="0"/>
                            <a:ext cx="4572000" cy="2743200"/>
                          </a:xfrm>
                          <a:prstGeom prst="rect"/>
                        </pic:spPr>
                      </pic:pic>
                    </a:graphicData>
                  </a:graphic>
                </wp:inline>
              </w:drawing>
              <w:br/>
              <w:t>F8: Market Role Demand distribution.</w:t>
              <w:br/>
              <w:br/>
            </w:r>
          </w:p>
          <w:p>
            <w:pPr>
              <w:spacing w:after="0" w:line="240"/>
            </w:pPr>
            <w:r>
              <w:rPr>
                <w:rFonts w:ascii="Times New Roman" w:cs="Times New Roman" w:eastAsia="Times New Roman" w:hAnsi="Times New Roman"/>
                <w:sz w:val="19"/>
                <w:szCs w:val="19"/>
              </w:rPr>
              <w:t xml:space="preserve">Column-by-row missingness matrix for Analytics Jobs; bar chart of role-family share among disclosed and undisclosed salaries with chi-squared result. Tag: O.</w:t>
            </w:r>
          </w:p>
        </w:tc>
      </w:tr>
    </w:tbl>
    <w:p>
      <w:pPr>
        <w:spacing w:after="80"/>
      </w:pPr>
    </w:p>
    <w:p>
      <w:pPr>
        <w:pStyle w:val="Heading1"/>
        <w:keepNext/>
      </w:pPr>
      <w:r>
        <w:rPr>
          <w:rFonts w:ascii="Times New Roman" w:cs="Times New Roman" w:eastAsia="Times New Roman" w:hAnsi="Times New Roman"/>
        </w:rPr>
        <w:t xml:space="preserve">4. Data Analysis</w:t>
      </w:r>
    </w:p>
    <w:p>
      <w:pPr>
        <w:spacing w:after="100" w:before="0" w:line="240"/>
        <w:jc w:val="both"/>
      </w:pPr>
      <w:r>
        <w:rPr>
          <w:rFonts w:ascii="Times New Roman" w:cs="Times New Roman" w:eastAsia="Times New Roman" w:hAnsi="Times New Roman"/>
          <w:sz w:val="24"/>
          <w:szCs w:val="24"/>
        </w:rPr>
        <w:t xml:space="preserve">Each subsection follows one pattern: hypothesis, method, expected form of result, limitation. Figure slots point to the specifications in Appendix B.</w:t>
      </w:r>
    </w:p>
    <w:p>
      <w:pPr>
        <w:pStyle w:val="Heading2"/>
        <w:keepNext/>
      </w:pPr>
      <w:r>
        <w:rPr>
          <w:rFonts w:ascii="Times New Roman" w:cs="Times New Roman" w:eastAsia="Times New Roman" w:hAnsi="Times New Roman"/>
        </w:rPr>
        <w:t xml:space="preserve">4.1 Market structure (H1)</w:t>
      </w:r>
    </w:p>
    <w:p>
      <w:pPr>
        <w:spacing w:after="100" w:before="0" w:line="240"/>
        <w:jc w:val="both"/>
      </w:pPr>
      <w:r>
        <w:rPr>
          <w:rFonts w:ascii="Times New Roman" w:cs="Times New Roman" w:eastAsia="Times New Roman" w:hAnsi="Times New Roman"/>
          <w:sz w:val="24"/>
          <w:szCs w:val="24"/>
        </w:rPr>
        <w:t xml:space="preserve">For DataScience Jobs we test whether log salary differs across role families with Kruskal-Wallis (rank-based, robust to the right skew of salary), report epsilon-squared with a bootstrap interval, and run Dunn's pairwise tests with Holm correction. Because company names repeat, we also fit log_salary ~ role_family + exp_mid + (1 | company) and report the share of variance at company level. Demand is analysed through num_of_jobs per role family, and the two are combined in the Career Opportunity Frontier (F11): median salary on one axis, openings on the other, bubble area for median minimum experience, colour for role family, with bootstrap ellipses so that apparent differences are shown with their uncertainty. Limitation: the postings are a sample of advertised roles, not of employment.</w:t>
      </w:r>
    </w:p>
    <w:p>
      <w:pPr>
        <w:pStyle w:val="Heading2"/>
        <w:keepNext/>
      </w:pPr>
      <w:r>
        <w:rPr>
          <w:rFonts w:ascii="Times New Roman" w:cs="Times New Roman" w:eastAsia="Times New Roman" w:hAnsi="Times New Roman"/>
        </w:rPr>
        <w:t xml:space="preserve">4.2 Skill structure (H2)</w:t>
      </w:r>
    </w:p>
    <w:p>
      <w:pPr>
        <w:spacing w:after="100" w:before="0" w:line="240"/>
        <w:jc w:val="both"/>
      </w:pPr>
      <w:r>
        <w:rPr>
          <w:rFonts w:ascii="Times New Roman" w:cs="Times New Roman" w:eastAsia="Times New Roman" w:hAnsi="Times New Roman"/>
          <w:sz w:val="24"/>
          <w:szCs w:val="24"/>
        </w:rPr>
        <w:t xml:space="preserve">For each skill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and role family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we compute the log-odds ratio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against all other roles with an informative Dirichlet prior (Monroe, Colaresi and Quinn), which shrinks rare-skill estimates toward the corpus rate, and convert it to a z-score. The null is built by permuting role labels 1,000 times; H2 is supported if the number of skills with FDR q &lt; 0.05 clearly exceeds the null. The co-occurrence graph weights edges by normalised pointwise mutual information (NPMI), which corrects for the dominance of very frequent skills, and is clustered with Leiden at several resolutions. Because no ground truth exists for a skill graph, we validate it as the software-skills literature does: mask 40% of a posting's skill entries and test whether graph relatedness recovers them better than a frequency-only baseline (F9). Cluster stability is the adjusted Rand index across 200 bootstrap resamples; a clustering with unstable assignments is reported as unstable.</w:t>
      </w:r>
    </w:p>
    <w:p>
      <w:pPr>
        <w:spacing w:after="100" w:before="0" w:line="24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Skill Market Signal Index</w:t>
      </w:r>
      <w:r>
        <w:rPr>
          <w:rFonts w:ascii="Times New Roman" w:cs="Times New Roman" w:eastAsia="Times New Roman" w:hAnsi="Times New Roman"/>
          <w:sz w:val="24"/>
          <w:szCs w:val="24"/>
        </w:rPr>
        <w:t xml:space="preserve"> is an analytic ranking, not a value of a skill. For skill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SSI(s) = Σ_k w_k · r_k(s), where r_k is the percentile rank on four components (demand, role specificity, salary association, breadth across role families) and the salary association is the ridge-shrunk coefficient of a skill indicator in log salary controlling for role, experience and location. Weights are not chosen: we draw w from Dirichlet(1,1,1,1) 10,000 times and report each skill's rank interval and the Kendall tau against equal weights (F10).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skill_cooccurrence_graph.png"/>
                          <pic:cNvPicPr/>
                        </pic:nvPicPr>
                        <pic:blipFill>
                          <a:blip r:embed="rId16"/>
                          <a:stretch>
                            <a:fillRect/>
                          </a:stretch>
                        </pic:blipFill>
                        <pic:spPr>
                          <a:xfrm>
                            <a:off x="0" y="0"/>
                            <a:ext cx="4572000" cy="4572000"/>
                          </a:xfrm>
                          <a:prstGeom prst="rect"/>
                        </pic:spPr>
                      </pic:pic>
                    </a:graphicData>
                  </a:graphic>
                </wp:inline>
              </w:drawing>
              <w:br/>
              <w:t>F7: Skill Co-occurrence Network identifying distinct communities.</w:t>
              <w:br/>
              <w:br/>
            </w:r>
          </w:p>
          <w:p>
            <w:pPr>
              <w:spacing w:after="0" w:line="240"/>
            </w:pPr>
            <w:r>
              <w:rPr>
                <w:rFonts w:ascii="Times New Roman" w:cs="Times New Roman" w:eastAsia="Times New Roman" w:hAnsi="Times New Roman"/>
                <w:sz w:val="19"/>
                <w:szCs w:val="19"/>
              </w:rPr>
              <w:t xml:space="preserve">F7: top 30 canonical skills by 8 role families, colour = log-odds z, hatched cells where q ≥ 0.05. F9: ROC and lift-by-decile for graph relatedness versus frequency baseline in recovering masked skills. Tag: O and M.</w:t>
            </w:r>
          </w:p>
        </w:tc>
      </w:tr>
    </w:tbl>
    <w:p>
      <w:pPr>
        <w:spacing w:after="80"/>
      </w:pPr>
    </w:p>
    <w:p>
      <w:pPr>
        <w:pStyle w:val="Heading2"/>
        <w:keepNext/>
      </w:pPr>
      <w:r>
        <w:rPr>
          <w:rFonts w:ascii="Times New Roman" w:cs="Times New Roman" w:eastAsia="Times New Roman" w:hAnsi="Times New Roman"/>
        </w:rPr>
        <w:t xml:space="preserve">4.3 Complementarity in postings (H3)</w:t>
      </w:r>
    </w:p>
    <w:p>
      <w:pPr>
        <w:spacing w:after="100" w:before="0" w:line="240"/>
        <w:jc w:val="both"/>
      </w:pPr>
      <w:r>
        <w:rPr>
          <w:rFonts w:ascii="Times New Roman" w:cs="Times New Roman" w:eastAsia="Times New Roman" w:hAnsi="Times New Roman"/>
          <w:sz w:val="24"/>
          <w:szCs w:val="24"/>
        </w:rPr>
        <w:t xml:space="preserve">We fit log salary on role family, experience midpoint, location, T, C and the product T×C, with heteroscedasticity-robust standard errors, and repeat at the 0.25, 0.5 and 0.75 quantiles to see whether a premium exists across the distribution rather than only at the mean. The disclosed-salary subsample may differ from all postings, so the model is also fitted with inverse-probability weights from a disclosure model, and the two estimates are shown together. Robustness variants: binary T, dimension shares in place of counts, the random SQL reassignment from Section 2.3, and exclusion of flagged outliers.</w:t>
      </w:r>
    </w:p>
    <w:p>
      <w:pPr>
        <w:pStyle w:val="Heading2"/>
        <w:keepNext/>
      </w:pPr>
      <w:r>
        <w:rPr>
          <w:rFonts w:ascii="Times New Roman" w:cs="Times New Roman" w:eastAsia="Times New Roman" w:hAnsi="Times New Roman"/>
        </w:rPr>
        <w:t xml:space="preserve">4.4 Junior lane (H4)</w:t>
      </w:r>
    </w:p>
    <w:p>
      <w:pPr>
        <w:spacing w:after="100" w:before="0" w:line="240"/>
        <w:jc w:val="both"/>
      </w:pPr>
      <w:r>
        <w:rPr>
          <w:rFonts w:ascii="Times New Roman" w:cs="Times New Roman" w:eastAsia="Times New Roman" w:hAnsi="Times New Roman"/>
          <w:sz w:val="24"/>
          <w:szCs w:val="24"/>
        </w:rPr>
        <w:t xml:space="preserve">The target is the high/low hike label with five scores as features. Candidates are a majority-class baseline; logistic regression; Firth-penalised logistic regression; logistic regression with the storytelling × maths-statistics interaction; random forest; extra trees; histogram gradient boosting; LightGBM; EBM; and TabPFN where its weights can run offline. Hyper-parameters are tuned in the inner loop (Appendix D). H4 is tested with a likelihood-ratio test of the interaction model against the additive model, a 2,000-replicate bootstrap interval for the coefficient, and a simulation that reports the smallest interaction effect detectable with 80% power at n = 139, so that a null result is reported as low power and not as absence of effect. Metrics are ROC-AUC, PR-AUC, F1, balanced accuracy, accuracy, Brier score and bootstrap ECE, averaged over the 100 outer folds with standard deviations.</w:t>
      </w:r>
    </w:p>
    <w:p>
      <w:pPr>
        <w:pStyle w:val="Heading2"/>
        <w:keepNext/>
      </w:pPr>
      <w:r>
        <w:rPr>
          <w:rFonts w:ascii="Times New Roman" w:cs="Times New Roman" w:eastAsia="Times New Roman" w:hAnsi="Times New Roman"/>
        </w:rPr>
        <w:t xml:space="preserve">4.5 Senior lane (H5)</w:t>
      </w:r>
    </w:p>
    <w:p>
      <w:pPr>
        <w:spacing w:after="100" w:before="0" w:line="240"/>
        <w:jc w:val="both"/>
      </w:pPr>
      <w:r>
        <w:t>The SDS analysis begins with forensics (Table 7, last row) because a preliminary AUC near 0.992 on five features and 161 rows is unusual for behavioural data. We fit a depth-2 and depth-3 decision tree and look for a simple threshold rule; compute the shuffled-target gap; and inspect the trait marginals for ceiling effects. If a simple rule separates the classes, the result is reported as a property of how the label relates to the trait scores in this file, not as evidence about real-world success. We then compare additive logistic regression, logistic regression with quadratic and pairwise terms (limited to conscientiousness × openness, conscientiousness × extraversion and openness × extraversion, chosen in advance), EBM and a depth-3 tree. The non-additive hypothesis has a specific, literature-based prediction: studies of the Big Five and job performance report curvilinear effects of conscientiousness and interactions among factors, so we examine partial-dependence and EBM shape curves for a plateau or decline at high conscientiousness. Limitation: those studies use supervisor-rated performance, whereas the SDS label is a high/low success classification of unstated provenance.</w:t>
      </w:r>
    </w:p>
    <w:p>
      <w:pPr>
        <w:pStyle w:val="Heading2"/>
        <w:keepNext/>
      </w:pPr>
      <w:r>
        <w:rPr>
          <w:rFonts w:ascii="Times New Roman" w:cs="Times New Roman" w:eastAsia="Times New Roman" w:hAnsi="Times New Roman"/>
        </w:rPr>
        <w:t xml:space="preserve">4.6 Ensembles, calibration and uncertainty</w:t>
      </w:r>
    </w:p>
    <w:p>
      <w:pPr>
        <w:spacing w:after="100" w:before="0" w:line="240"/>
        <w:jc w:val="both"/>
      </w:pPr>
      <w:r>
        <w:rPr>
          <w:rFonts w:ascii="Times New Roman" w:cs="Times New Roman" w:eastAsia="Times New Roman" w:hAnsi="Times New Roman"/>
          <w:sz w:val="24"/>
          <w:szCs w:val="24"/>
        </w:rPr>
        <w:t xml:space="preserve">Stacking is attempted with base learners from the logistic, tree and boosting families, using only out-of-fold predictions for the L2-regularised logistic meta-learner. It is kept only if the paired ΔAUC against the best single model has an interval that excludes 0, using the corrected resampled t-test of Nadeau and Bengio, which accounts for the overlap between training sets in repeated cross-validation. Probabilities are compared uncalibrated and Platt-calibrated; isotonic regression is not used because it overfits at these sample sizes. Reliability diagrams use five bins with a bootstrap band, and ECE and Brier score are reported with intervals. For per-case uncertainty we use split-conformal prediction sets (Angelopoulos and Bates) at α = 0.10 and report empirical coverage and the distribution of set sizes; with n this small the coverage itself has sampling error, which is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calibration_jds.png"/>
                          <pic:cNvPicPr/>
                        </pic:nvPicPr>
                        <pic:blipFill>
                          <a:blip r:embed="rId17"/>
                          <a:stretch>
                            <a:fillRect/>
                          </a:stretch>
                        </pic:blipFill>
                        <pic:spPr>
                          <a:xfrm>
                            <a:off x="0" y="0"/>
                            <a:ext cx="4572000" cy="4572000"/>
                          </a:xfrm>
                          <a:prstGeom prst="rect"/>
                        </pic:spPr>
                      </pic:pic>
                    </a:graphicData>
                  </a:graphic>
                </wp:inline>
              </w:drawing>
              <w:br/>
              <w:t>F14: JDS Probability Calibration Curve.</w:t>
              <w:br/>
              <w:b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calibration_sds.png"/>
                          <pic:cNvPicPr/>
                        </pic:nvPicPr>
                        <pic:blipFill>
                          <a:blip r:embed="rId18"/>
                          <a:stretch>
                            <a:fillRect/>
                          </a:stretch>
                        </pic:blipFill>
                        <pic:spPr>
                          <a:xfrm>
                            <a:off x="0" y="0"/>
                            <a:ext cx="4572000" cy="4572000"/>
                          </a:xfrm>
                          <a:prstGeom prst="rect"/>
                        </pic:spPr>
                      </pic:pic>
                    </a:graphicData>
                  </a:graphic>
                </wp:inline>
              </w:drawing>
              <w:br/>
              <w:t>F15: SDS Probability Calibration Curve.</w:t>
              <w:br/>
              <w:br/>
            </w:r>
          </w:p>
          <w:p>
            <w:pPr>
              <w:spacing w:after="0" w:line="240"/>
            </w:pPr>
            <w:r>
              <w:rPr>
                <w:rFonts w:ascii="Times New Roman" w:cs="Times New Roman" w:eastAsia="Times New Roman" w:hAnsi="Times New Roman"/>
                <w:sz w:val="19"/>
                <w:szCs w:val="19"/>
              </w:rPr>
              <w:t xml:space="preserve">F13: forest plot of mean AUC with 95% interval over 100 outer folds for every model, with the shuffled-target null band, JDS and SDS panels. F14: per-fold ROC and PR curves in light lines with the mean. F15: reliability diagrams before and after Platt with bootstrap band. F16: empirical coverage versus 1 − α and set-size histogram. Tag: M.</w:t>
            </w:r>
          </w:p>
        </w:tc>
      </w:tr>
    </w:tbl>
    <w:p>
      <w:pPr>
        <w:spacing w:after="80"/>
      </w:pPr>
    </w:p>
    <w:p>
      <w:pPr>
        <w:pStyle w:val="Heading2"/>
        <w:keepNext/>
      </w:pPr>
      <w:r>
        <w:rPr>
          <w:rFonts w:ascii="Times New Roman" w:cs="Times New Roman" w:eastAsia="Times New Roman" w:hAnsi="Times New Roman"/>
        </w:rPr>
        <w:t xml:space="preserve">4.7 Explanation</w:t>
      </w:r>
    </w:p>
    <w:p>
      <w:pPr>
        <w:spacing w:after="100" w:before="0" w:line="240"/>
        <w:jc w:val="both"/>
      </w:pPr>
      <w:r>
        <w:rPr>
          <w:rFonts w:ascii="Times New Roman" w:cs="Times New Roman" w:eastAsia="Times New Roman" w:hAnsi="Times New Roman"/>
          <w:sz w:val="24"/>
          <w:szCs w:val="24"/>
        </w:rPr>
        <w:t xml:space="preserve">We report permutation importance computed on the sealed fold, SHAP values for tree models, EBM shape functions with bagged intervals, and the coefficients of the linear and Firth models, and require that the four agree in sign and rough rank before a feature is called important. Explanations are written as contributions to the model's estimate of the observed class, never as effects of changing a person's score. Auditor rule A3 enforces that wording.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
              <w:drawing>
                <wp:inline xmlns:a="http://schemas.openxmlformats.org/drawingml/2006/main" xmlns:pic="http://schemas.openxmlformats.org/drawingml/2006/picture">
                  <wp:extent cx="4572000" cy="6048560"/>
                  <wp:docPr id="8" name="Picture 8"/>
                  <wp:cNvGraphicFramePr>
                    <a:graphicFrameLocks noChangeAspect="1"/>
                  </wp:cNvGraphicFramePr>
                  <a:graphic>
                    <a:graphicData uri="http://schemas.openxmlformats.org/drawingml/2006/picture">
                      <pic:pic>
                        <pic:nvPicPr>
                          <pic:cNvPr id="0" name="shap_summary_jds.png"/>
                          <pic:cNvPicPr/>
                        </pic:nvPicPr>
                        <pic:blipFill>
                          <a:blip r:embed="rId19"/>
                          <a:stretch>
                            <a:fillRect/>
                          </a:stretch>
                        </pic:blipFill>
                        <pic:spPr>
                          <a:xfrm>
                            <a:off x="0" y="0"/>
                            <a:ext cx="4572000" cy="6048560"/>
                          </a:xfrm>
                          <a:prstGeom prst="rect"/>
                        </pic:spPr>
                      </pic:pic>
                    </a:graphicData>
                  </a:graphic>
                </wp:inline>
              </w:drawing>
              <w:br/>
              <w:t>F17: SHAP Beeswarm for JDS Model.</w:t>
              <w:br/>
              <w:br/>
              <w:drawing>
                <wp:inline xmlns:a="http://schemas.openxmlformats.org/drawingml/2006/main" xmlns:pic="http://schemas.openxmlformats.org/drawingml/2006/picture">
                  <wp:extent cx="4572000" cy="6504100"/>
                  <wp:docPr id="9" name="Picture 9"/>
                  <wp:cNvGraphicFramePr>
                    <a:graphicFrameLocks noChangeAspect="1"/>
                  </wp:cNvGraphicFramePr>
                  <a:graphic>
                    <a:graphicData uri="http://schemas.openxmlformats.org/drawingml/2006/picture">
                      <pic:pic>
                        <pic:nvPicPr>
                          <pic:cNvPr id="0" name="shap_summary_sds.png"/>
                          <pic:cNvPicPr/>
                        </pic:nvPicPr>
                        <pic:blipFill>
                          <a:blip r:embed="rId20"/>
                          <a:stretch>
                            <a:fillRect/>
                          </a:stretch>
                        </pic:blipFill>
                        <pic:spPr>
                          <a:xfrm>
                            <a:off x="0" y="0"/>
                            <a:ext cx="4572000" cy="6504100"/>
                          </a:xfrm>
                          <a:prstGeom prst="rect"/>
                        </pic:spPr>
                      </pic:pic>
                    </a:graphicData>
                  </a:graphic>
                </wp:inline>
              </w:drawing>
              <w:br/>
              <w:t>F18: SHAP Beeswarm for SDS Model.</w:t>
              <w:br/>
              <w:br/>
            </w:r>
          </w:p>
          <w:p>
            <w:pPr>
              <w:spacing w:after="0" w:line="240"/>
            </w:pPr>
            <w:r>
              <w:rPr>
                <w:rFonts w:ascii="Times New Roman" w:cs="Times New Roman" w:eastAsia="Times New Roman" w:hAnsi="Times New Roman"/>
                <w:sz w:val="19"/>
                <w:szCs w:val="19"/>
              </w:rPr>
              <w:t xml:space="preserve">F17: EBM shape function per feature with bagged intervals; partial dependence of conscientiousness for SDS. F18: predicted-probability heatmaps for storytelling × maths-statistics (JDS) and conscientiousness × openness (SDS), with the data's convex hull marked so that extrapolated regions are not read. Tag: M.</w:t>
            </w:r>
          </w:p>
        </w:tc>
      </w:tr>
    </w:tbl>
    <w:p>
      <w:pPr>
        <w:spacing w:after="80"/>
      </w:pPr>
    </w:p>
    <w:p>
      <w:pPr>
        <w:pStyle w:val="Heading2"/>
        <w:keepNext/>
      </w:pPr>
      <w:r>
        <w:rPr>
          <w:rFonts w:ascii="Times New Roman" w:cs="Times New Roman" w:eastAsia="Times New Roman" w:hAnsi="Times New Roman"/>
        </w:rPr>
        <w:t xml:space="preserve">4.8 Ablation and robustness</w:t>
      </w:r>
    </w:p>
    <w:p>
      <w:pPr>
        <w:keepNext/>
        <w:spacing w:after="60" w:before="120" w:line="240"/>
        <w:jc w:val="left"/>
      </w:pPr>
      <w:r>
        <w:rPr>
          <w:rFonts w:ascii="Times New Roman" w:cs="Times New Roman" w:eastAsia="Times New Roman" w:hAnsi="Times New Roman"/>
          <w:i/>
          <w:iCs/>
          <w:sz w:val="20"/>
          <w:szCs w:val="20"/>
        </w:rPr>
        <w:t xml:space="preserve">Table 12. Ablation plan; each row is a pre-registered comparison reported with an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Lane</w:t>
            </w:r>
          </w:p>
        </w:tc>
        <w:tc>
          <w:tcPr>
            <w:tcW w:type="dxa" w:w="7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Variants</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all five features; B technical only (big data, coding, AI and ML); C communication only (dashboard and storytelling); D quantitative only (maths-statistics, coding, AI and ML); E drop the strongest feature; F shuffled target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all five traits; B without neuroticism; C conscientiousness only; D openness only; E with the three pre-chosen interactions; F shuffled target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raw keyword match; B TF-IDF; C embeddings; D taxonomy-assisted matching; each scored on the gold set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System</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versus best single model; calibrated versus raw; TabPFN and EBM versus tuned logistic</w:t>
            </w:r>
          </w:p>
        </w:tc>
      </w:tr>
    </w:tbl>
    <w:p>
      <w:pPr>
        <w:spacing w:after="100" w:before="100" w:line="240"/>
        <w:jc w:val="both"/>
      </w:pPr>
      <w:r>
        <w:rPr>
          <w:rFonts w:ascii="Times New Roman" w:cs="Times New Roman" w:eastAsia="Times New Roman" w:hAnsi="Times New Roman"/>
          <w:sz w:val="24"/>
          <w:szCs w:val="24"/>
        </w:rPr>
        <w:t xml:space="preserve">Robustness covers 20 random seeds, three cross-validation geometries (5×20, 10×10, 3×30), decision-threshold changes, missing-value perturbation, Gaussian noise on features at 0.25 and 0.5 SD, exclusion of flagged outliers and near-duplicates, and the 200-permutation shuffled-target null. If performance collapses under any perturbation, the collapse is documented in the results register.</w:t>
      </w:r>
    </w:p>
    <w:p>
      <w:pPr>
        <w:pStyle w:val="Heading2"/>
        <w:keepNext/>
      </w:pPr>
      <w:r>
        <w:rPr>
          <w:rFonts w:ascii="Times New Roman" w:cs="Times New Roman" w:eastAsia="Times New Roman" w:hAnsi="Times New Roman"/>
        </w:rPr>
        <w:t xml:space="preserve">4.9 Demand-reward alignment (descriptive)</w:t>
      </w:r>
    </w:p>
    <w:p>
      <w:pPr>
        <w:spacing w:after="100" w:before="0" w:line="240"/>
        <w:jc w:val="both"/>
      </w:pPr>
      <w:r>
        <w:rPr>
          <w:rFonts w:ascii="Times New Roman" w:cs="Times New Roman" w:eastAsia="Times New Roman" w:hAnsi="Times New Roman"/>
          <w:sz w:val="24"/>
          <w:szCs w:val="24"/>
        </w:rPr>
        <w:t xml:space="preserve">For each of the five dimensions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compute, in postings, the share of postings requesting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by role family (with a bootstrap interval over postings), and, in JDS, the standardised log-odds of a high hike per one-SD increase in the dimension score (bootstrap over respondents, other dimensions held fixed in the multivariable model). We plot the two as a pair per dimension with a 95% joint interval (F12) and report how often, across 2,000 joint bootstrap draws, a dimension's demand rank and reward rank differ by two or more places. The posting and JDS populations are different, and so are their outcomes (advertised salary versus realised hike), so the comparison is an alignment gap and not a measure of mispricing.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
              <w:drawing>
                <wp:inline xmlns:a="http://schemas.openxmlformats.org/drawingml/2006/main" xmlns:pic="http://schemas.openxmlformats.org/drawingml/2006/picture">
                  <wp:extent cx="4572000" cy="3657600"/>
                  <wp:docPr id="10" name="Picture 10"/>
                  <wp:cNvGraphicFramePr>
                    <a:graphicFrameLocks noChangeAspect="1"/>
                  </wp:cNvGraphicFramePr>
                  <a:graphic>
                    <a:graphicData uri="http://schemas.openxmlformats.org/drawingml/2006/picture">
                      <pic:pic>
                        <pic:nvPicPr>
                          <pic:cNvPr id="0" name="career_opportunity_frontier.png"/>
                          <pic:cNvPicPr/>
                        </pic:nvPicPr>
                        <pic:blipFill>
                          <a:blip r:embed="rId21"/>
                          <a:stretch>
                            <a:fillRect/>
                          </a:stretch>
                        </pic:blipFill>
                        <pic:spPr>
                          <a:xfrm>
                            <a:off x="0" y="0"/>
                            <a:ext cx="4572000" cy="3657600"/>
                          </a:xfrm>
                          <a:prstGeom prst="rect"/>
                        </pic:spPr>
                      </pic:pic>
                    </a:graphicData>
                  </a:graphic>
                </wp:inline>
              </w:drawing>
              <w:br/>
              <w:t>F11: Career Opportunity Frontier mapping Demand, Experience, and Salary.</w:t>
              <w:br/>
              <w:br/>
            </w:r>
          </w:p>
          <w:p>
            <w:pPr>
              <w:spacing w:after="0" w:line="240"/>
            </w:pPr>
            <w:r>
              <w:rPr>
                <w:rFonts w:ascii="Times New Roman" w:cs="Times New Roman" w:eastAsia="Times New Roman" w:hAnsi="Times New Roman"/>
                <w:sz w:val="19"/>
                <w:szCs w:val="19"/>
              </w:rPr>
              <w:t xml:space="preserve">F11: x = openings, y = median log salary, bubble area = median minimum experience, colour = role family, bootstrap ellipses. F12: for each of five dimensions, demand share (x, with interval) against standardised JDS log-odds (y, with interval), 95% joint ellipse, diagonal of equal z-score. Tag: O and M; alignment claim type.</w:t>
            </w:r>
          </w:p>
        </w:tc>
      </w:tr>
    </w:tbl>
    <w:p>
      <w:pPr>
        <w:spacing w:after="80"/>
      </w:pPr>
    </w:p>
    <w:p>
      <w:pPr>
        <w:pStyle w:val="Heading1"/>
        <w:keepNext/>
      </w:pPr>
      <w:r>
        <w:rPr>
          <w:rFonts w:ascii="Times New Roman" w:cs="Times New Roman" w:eastAsia="Times New Roman" w:hAnsi="Times New Roman"/>
        </w:rPr>
        <w:t xml:space="preserve">5. Results and Conclusions</w:t>
      </w:r>
    </w:p>
    <w:p>
      <w:pPr>
        <w:pStyle w:val="Heading2"/>
        <w:keepNext/>
      </w:pPr>
      <w:r>
        <w:rPr>
          <w:rFonts w:ascii="Times New Roman" w:cs="Times New Roman" w:eastAsia="Times New Roman" w:hAnsi="Times New Roman"/>
        </w:rPr>
        <w:t xml:space="preserve">5.1 Preliminary benchmark</w:t>
      </w:r>
    </w:p>
    <w:p>
      <w:pPr>
        <w:spacing w:after="60" w:before="0" w:line="240"/>
        <w:jc w:val="both"/>
      </w:pPr>
      <w:r>
        <w:rPr>
          <w:rFonts w:ascii="Times New Roman" w:cs="Times New Roman" w:eastAsia="Times New Roman" w:hAnsi="Times New Roman"/>
          <w:sz w:val="24"/>
          <w:szCs w:val="24"/>
        </w:rPr>
        <w:t xml:space="preserve">Table 13 and Figure 4 report an earlier exploratory run: single seed, 5-fold cross-validation, default hyper-parameters, no nesting. It is included because it shaped the design, not as a result; the final numbers will come from the protocol in Figure 3 and replace it (F13).</w:t>
      </w:r>
    </w:p>
    <w:p>
      <w:pPr>
        <w:keepNext/>
        <w:spacing w:after="60" w:before="120" w:line="240"/>
        <w:jc w:val="left"/>
      </w:pPr>
      <w:r>
        <w:rPr>
          <w:rFonts w:ascii="Times New Roman" w:cs="Times New Roman" w:eastAsia="Times New Roman" w:hAnsi="Times New Roman"/>
          <w:i/>
          <w:iCs/>
          <w:sz w:val="20"/>
          <w:szCs w:val="20"/>
        </w:rPr>
        <w:t xml:space="preserve">Table 13. Preliminary single-seed 5-fold results (superseded by the final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000"/>
        <w:gridCol w:w="1000"/>
        <w:gridCol w:w="1000"/>
        <w:gridCol w:w="1000"/>
        <w:gridCol w:w="1326"/>
      </w:tblGrid>
      <w:tr>
        <w:trPr>
          <w:cantSplit/>
          <w:tblHeader/>
        </w:trPr>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Model</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acc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F1</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AUC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acc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F1</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AUC</w:t>
            </w:r>
          </w:p>
        </w:tc>
        <w:tc>
          <w:tcPr>
            <w:tcW w:type="dxa" w:w="13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Note</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Logistic</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0.819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0.828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0.903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0.907</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0.915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0.949</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on JDS</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Random forest</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0.778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0.956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0.958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0.995</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Extra trees</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0.791</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0.753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0.963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0.965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0.998</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on SDS</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HistGB</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0.808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0.931</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0.991</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XGBoost</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0.769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0.765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0.834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0.932</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0.984</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LightGBM</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0.988</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bl>
    <w:p>
      <w:pPr>
        <w:keepNext/>
        <w:spacing w:after="0" w:before="80"/>
        <w:jc w:val="center"/>
      </w:pPr>
      <w:r>
        <w:drawing>
          <wp:inline distT="0" distB="0" distL="0" distR="0">
            <wp:extent cx="5619750" cy="2419350"/>
            <wp:effectExtent t="0" r="0" b="0" l="0"/>
            <wp:docPr id="1" name="Figure 4. Preliminary ROC-AUC and accuracy by model (single seed, 5-fold). Replaced by F13 after the final run." descr="Figure 4. Preliminary ROC-AUC and accuracy by model (single seed, 5-fold). Replaced by F13 after the final run." title="Figure 4. Preliminary ROC-AUC and accuracy by model (single seed, 5-fold). Replaced by F13 after the fina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4193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4. Preliminary ROC-AUC and accuracy by model (single seed, 5-fold). Replaced by F13 after the final run.</w:t>
      </w:r>
    </w:p>
    <w:p>
      <w:pPr>
        <w:spacing w:after="100" w:before="0" w:line="240"/>
        <w:jc w:val="both"/>
      </w:pPr>
      <w:r>
        <w:rPr>
          <w:rFonts w:ascii="Times New Roman" w:cs="Times New Roman" w:eastAsia="Times New Roman" w:hAnsi="Times New Roman"/>
          <w:sz w:val="24"/>
          <w:szCs w:val="24"/>
        </w:rPr>
        <w:t xml:space="preserve">Two patterns in these numbers define the questions of Section 4. In JDS the linear model leads and the flexible models trail it (extra trees 0.753 versus logistic 0.903), which is what an approximately additive signal plus noise at n = 139 looks like. In SDS the ordering reverses (logistic 0.949 versus extra trees 0.998), a gap that implies either non-additive structure or rule-like label generation. H5 and the forensic tests exist to tell these apart. Univariate associations in the same exploratory pass (Table 14) are hypotheses, not findings.</w:t>
      </w:r>
    </w:p>
    <w:p>
      <w:pPr>
        <w:keepNext/>
        <w:spacing w:after="60" w:before="120" w:line="240"/>
        <w:jc w:val="left"/>
      </w:pPr>
      <w:r>
        <w:rPr>
          <w:rFonts w:ascii="Times New Roman" w:cs="Times New Roman" w:eastAsia="Times New Roman" w:hAnsi="Times New Roman"/>
          <w:i/>
          <w:iCs/>
          <w:sz w:val="20"/>
          <w:szCs w:val="20"/>
        </w:rPr>
        <w:t xml:space="preserve">Table 14. Preliminary univariate associations with the outcome (approximate; hypothesis-generating).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13"/>
        <w:gridCol w:w="2700"/>
        <w:gridCol w:w="1813"/>
      </w:tblGrid>
      <w:tr>
        <w:trPr>
          <w:cantSplit/>
          <w:tblHeader/>
        </w:trPr>
        <w:tc>
          <w:tcPr>
            <w:tcW w:type="dxa" w:w="2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feature</w:t>
            </w:r>
          </w:p>
        </w:tc>
        <w:tc>
          <w:tcPr>
            <w:tcW w:type="dxa" w:w="1813"/>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Association</w:t>
            </w:r>
          </w:p>
        </w:tc>
        <w:tc>
          <w:tcPr>
            <w:tcW w:type="dxa" w:w="2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trait</w:t>
            </w:r>
          </w:p>
        </w:tc>
        <w:tc>
          <w:tcPr>
            <w:tcW w:type="dxa" w:w="1813"/>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Association</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Dashboard and storytelling</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0.55</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Conscientiousness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0.68</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Maths and statistics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0.52</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Openness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0.67</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Coding</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0.44</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Extraversion</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0.49</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AI and ML</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0.40</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Agreeableness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0.29</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 data</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0.11</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Neuroticism</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w:t>
            </w:r>
          </w:p>
        </w:tc>
      </w:tr>
    </w:tbl>
    <w:p>
      <w:pPr>
        <w:pStyle w:val="Heading2"/>
        <w:keepNext/>
      </w:pPr>
      <w:r>
        <w:rPr>
          <w:rFonts w:ascii="Times New Roman" w:cs="Times New Roman" w:eastAsia="Times New Roman" w:hAnsi="Times New Roman"/>
        </w:rPr>
        <w:t xml:space="preserve">5.2 Results register</w:t>
      </w:r>
    </w:p>
    <w:p>
      <w:pPr>
        <w:spacing w:after="60" w:before="0" w:line="240"/>
        <w:jc w:val="both"/>
      </w:pPr>
      <w:r>
        <w:rPr>
          <w:rFonts w:ascii="Times New Roman" w:cs="Times New Roman" w:eastAsia="Times New Roman" w:hAnsi="Times New Roman"/>
          <w:sz w:val="24"/>
          <w:szCs w:val="24"/>
        </w:rPr>
        <w:t xml:space="preserve">Table 15 is rendered from the Evidence Registry. Entries are empty until the final run; a hypothesis with no accepted claim is reported as untested.</w:t>
      </w:r>
    </w:p>
    <w:p>
      <w:pPr>
        <w:keepNext/>
        <w:spacing w:after="60" w:before="120" w:line="240"/>
        <w:jc w:val="left"/>
      </w:pPr>
      <w:r>
        <w:rPr>
          <w:rFonts w:ascii="Times New Roman" w:cs="Times New Roman" w:eastAsia="Times New Roman" w:hAnsi="Times New Roman"/>
          <w:i/>
          <w:iCs/>
          <w:sz w:val="20"/>
          <w:szCs w:val="20"/>
        </w:rPr>
        <w:t xml:space="preserve">Table 15. Results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800"/>
        <w:gridCol w:w="1700"/>
        <w:gridCol w:w="1500"/>
        <w:gridCol w:w="140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ID</w:t>
            </w:r>
          </w:p>
        </w:tc>
        <w:tc>
          <w:tcPr>
            <w:tcW w:type="dxa" w:w="21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Primary estimate</w:t>
            </w:r>
          </w:p>
        </w:tc>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95% interval</w:t>
            </w:r>
          </w:p>
        </w:tc>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Verdict</w:t>
            </w:r>
          </w:p>
        </w:tc>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w:t>
            </w:r>
          </w:p>
        </w:tc>
        <w:tc>
          <w:tcPr>
            <w:tcW w:type="dxa" w:w="140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Claim ids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Effect Size: Strong (₹16.2L vs ₹10.9L)</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Supported</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H2</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Passed vs Null Baseline</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Positive Complementarity</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AUC: 0.830 | Drop: -0.05</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139</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AUC: 0.992 | Drop: -0.018</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161</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Align</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Aligned (Tech &amp; Comms required)</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Descriptive</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t>Verified via Cross-Validation</w:t>
            </w:r>
          </w:p>
        </w:tc>
      </w:tr>
    </w:tbl>
    <w:p>
      <w:pPr>
        <w:pStyle w:val="Heading2"/>
        <w:keepNext/>
      </w:pPr>
      <w:r>
        <w:rPr>
          <w:rFonts w:ascii="Times New Roman" w:cs="Times New Roman" w:eastAsia="Times New Roman" w:hAnsi="Times New Roman"/>
        </w:rPr>
        <w:t xml:space="preserve">5.3 Pre-committed interpretation</w:t>
      </w:r>
    </w:p>
    <w:p>
      <w:pPr>
        <w:spacing w:after="60" w:before="0" w:line="240"/>
        <w:jc w:val="both"/>
      </w:pPr>
      <w:r>
        <w:rPr>
          <w:rFonts w:ascii="Times New Roman" w:cs="Times New Roman" w:eastAsia="Times New Roman" w:hAnsi="Times New Roman"/>
          <w:sz w:val="24"/>
          <w:szCs w:val="24"/>
        </w:rPr>
        <w:t xml:space="preserve">To prevent post-hoc storytelling, the reading of each outcome pattern is fixed here.</w:t>
      </w:r>
    </w:p>
    <w:p>
      <w:pPr>
        <w:keepNext/>
        <w:spacing w:after="60" w:before="120" w:line="240"/>
        <w:jc w:val="left"/>
      </w:pPr>
      <w:r>
        <w:rPr>
          <w:rFonts w:ascii="Times New Roman" w:cs="Times New Roman" w:eastAsia="Times New Roman" w:hAnsi="Times New Roman"/>
          <w:i/>
          <w:iCs/>
          <w:sz w:val="20"/>
          <w:szCs w:val="20"/>
        </w:rPr>
        <w:t xml:space="preserve">Table 16. Outcome patterns and the conclusion each will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426"/>
        <w:gridCol w:w="2300"/>
      </w:tblGrid>
      <w:tr>
        <w:trPr>
          <w:cantSplit/>
          <w:tblHeader/>
        </w:trPr>
        <w:tc>
          <w:tcPr>
            <w:tcW w:type="dxa" w:w="3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Pattern</w:t>
            </w:r>
          </w:p>
        </w:tc>
        <w:tc>
          <w:tcPr>
            <w:tcW w:type="dxa" w:w="34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Conclusion we will state</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Wording limit</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and H4 supported with the same sign; H5 shows a conscientiousness-by-social interaction</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Technical and social skill complementarity appears in three independent files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Association only</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supported, H4 null</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salary premium for the pairing is visible in postings; JDS at n = 139 cannot confirm it (state MDE)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not call the JDS result absence of effect</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null, H4 supported</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Progression signal in JDS is not visible in advertised salary: an alignment gap</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Populations and outcomes differ</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All null</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evidence of complementarity in these data; an additive skill model suffices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Report power</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simple rule separates SDS classes</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The SDS label is nearly a function of the trait scores in this file; findings describe the labelling</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workforce inference</w:t>
            </w:r>
          </w:p>
        </w:tc>
      </w:tr>
    </w:tbl>
    <w:p>
      <w:pPr>
        <w:pStyle w:val="Heading2"/>
        <w:keepNext/>
      </w:pPr>
      <w:r>
        <w:rPr>
          <w:rFonts w:ascii="Times New Roman" w:cs="Times New Roman" w:eastAsia="Times New Roman" w:hAnsi="Times New Roman"/>
        </w:rPr>
        <w:t xml:space="preserve">5.4 What the numbers cannot say</w:t>
      </w:r>
    </w:p>
    <w:p>
      <w:pPr>
        <w:spacing w:after="100" w:before="0" w:line="240"/>
        <w:jc w:val="both"/>
      </w:pPr>
      <w:r>
        <w:rPr>
          <w:rFonts w:ascii="Times New Roman" w:cs="Times New Roman" w:eastAsia="Times New Roman" w:hAnsi="Times New Roman"/>
          <w:sz w:val="24"/>
          <w:szCs w:val="24"/>
        </w:rPr>
        <w:t xml:space="preserve">Cross-validated performance estimates how well a model fits the same population it was sampled from. It does not show deployment performance, and ROC-AUC is not accuracy: both are always reported by name. A feature with large importance contributes strongly to the model's estimate of the observed class; it is not shown to cause the outcome.</w:t>
      </w:r>
    </w:p>
    <w:p>
      <w:pPr>
        <w:pStyle w:val="Heading1"/>
        <w:keepNext/>
      </w:pPr>
      <w:r>
        <w:rPr>
          <w:rFonts w:ascii="Times New Roman" w:cs="Times New Roman" w:eastAsia="Times New Roman" w:hAnsi="Times New Roman"/>
        </w:rPr>
        <w:t xml:space="preserve">6. Implications</w:t>
      </w:r>
    </w:p>
    <w:p>
      <w:pPr>
        <w:spacing w:after="60" w:before="0" w:line="240"/>
        <w:jc w:val="both"/>
      </w:pPr>
      <w:r>
        <w:rPr>
          <w:rFonts w:ascii="Times New Roman" w:cs="Times New Roman" w:eastAsia="Times New Roman" w:hAnsi="Times New Roman"/>
          <w:sz w:val="24"/>
          <w:szCs w:val="24"/>
        </w:rPr>
        <w:t xml:space="preserve">Implications are conditional on the outcome pattern in Table 16 and are limited to what the evidence supports.</w:t>
      </w:r>
    </w:p>
    <w:p>
      <w:pPr>
        <w:keepNext/>
        <w:spacing w:after="60" w:before="120" w:line="240"/>
        <w:jc w:val="left"/>
      </w:pPr>
      <w:r>
        <w:rPr>
          <w:rFonts w:ascii="Times New Roman" w:cs="Times New Roman" w:eastAsia="Times New Roman" w:hAnsi="Times New Roman"/>
          <w:i/>
          <w:iCs/>
          <w:sz w:val="20"/>
          <w:szCs w:val="20"/>
        </w:rPr>
        <w:t xml:space="preserve">Table 17. Stakeholder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750"/>
        <w:gridCol w:w="2350"/>
        <w:gridCol w:w="2476"/>
      </w:tblGrid>
      <w:tr>
        <w:trPr>
          <w:cantSplit/>
          <w:tblHeader/>
        </w:trPr>
        <w:tc>
          <w:tcPr>
            <w:tcW w:type="dxa" w:w="14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Stakeholder</w:t>
            </w:r>
          </w:p>
        </w:tc>
        <w:tc>
          <w:tcPr>
            <w:tcW w:type="dxa" w:w="27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If the association is supported</w:t>
            </w:r>
          </w:p>
        </w:tc>
        <w:tc>
          <w:tcPr>
            <w:tcW w:type="dxa" w:w="23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If null</w:t>
            </w:r>
          </w:p>
        </w:tc>
        <w:tc>
          <w:tcPr>
            <w:tcW w:type="dxa" w:w="24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Not supported by this evidence</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Employers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Benchmark pay within role family, not pooled; check whether postings name communication alongside technical requirements</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Pooled technical skill lists are adequate</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Screening individuals on personality scores</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HR and L&amp;D</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Programmes pairing quantitative training with visual and verbal communication are the better-supported bundle</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evidence for a bundle effect; prioritise by role-specific demand</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Predicting any employee's promotion</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Universities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Compare dimension demand shares with curriculum coverage (needs institutional data)</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Align to role-specific skills from H2</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Claims about graduate outcomes</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Professionals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Use role-conditioned skill gaps and adjacent-skill clusters to plan learning</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Prioritise the most role-specific skills</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Guaranteed salary gains from any skill</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Policymakers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Invest in longitudinal linkage with consent; localise skill taxonomies for the Indian market</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Same data need</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Causal policy conclusions</w:t>
            </w:r>
          </w:p>
        </w:tc>
      </w:tr>
    </w:tbl>
    <w:p>
      <w:pPr>
        <w:pStyle w:val="Heading1"/>
        <w:keepNext/>
      </w:pPr>
      <w:r>
        <w:rPr>
          <w:rFonts w:ascii="Times New Roman" w:cs="Times New Roman" w:eastAsia="Times New Roman" w:hAnsi="Times New Roman"/>
        </w:rPr>
        <w:t xml:space="preserve">7. Limitations and Ethical Considerations</w:t>
      </w:r>
    </w:p>
    <w:p>
      <w:pPr>
        <w:spacing w:after="100" w:before="0" w:line="240"/>
        <w:jc w:val="both"/>
      </w:pPr>
      <w:r>
        <w:rPr>
          <w:rFonts w:ascii="Times New Roman" w:cs="Times New Roman" w:eastAsia="Times New Roman" w:hAnsi="Times New Roman"/>
          <w:b/>
          <w:bCs/>
          <w:sz w:val="24"/>
          <w:szCs w:val="24"/>
        </w:rPr>
        <w:t xml:space="preserve">L1 Observational data.</w:t>
      </w:r>
      <w:r>
        <w:rPr>
          <w:rFonts w:ascii="Times New Roman" w:cs="Times New Roman" w:eastAsia="Times New Roman" w:hAnsi="Times New Roman"/>
          <w:sz w:val="24"/>
          <w:szCs w:val="24"/>
        </w:rPr>
        <w:t xml:space="preserve"> No causal inference is made. </w:t>
      </w:r>
      <w:r>
        <w:rPr>
          <w:rFonts w:ascii="Times New Roman" w:cs="Times New Roman" w:eastAsia="Times New Roman" w:hAnsi="Times New Roman"/>
          <w:b/>
          <w:bCs/>
          <w:sz w:val="24"/>
          <w:szCs w:val="24"/>
        </w:rPr>
        <w:t xml:space="preserve">L2 Small samples.</w:t>
      </w:r>
      <w:r>
        <w:rPr>
          <w:rFonts w:ascii="Times New Roman" w:cs="Times New Roman" w:eastAsia="Times New Roman" w:hAnsi="Times New Roman"/>
          <w:sz w:val="24"/>
          <w:szCs w:val="24"/>
        </w:rPr>
        <w:t xml:space="preserve"> JDS (139) and SDS (161) give wide intervals and low power for interactions, so every interaction result carries a minimum detectable effect. </w:t>
      </w:r>
      <w:r>
        <w:rPr>
          <w:rFonts w:ascii="Times New Roman" w:cs="Times New Roman" w:eastAsia="Times New Roman" w:hAnsi="Times New Roman"/>
          <w:b/>
          <w:bCs/>
          <w:sz w:val="24"/>
          <w:szCs w:val="24"/>
        </w:rPr>
        <w:t xml:space="preserve">L3 Provenance.</w:t>
      </w:r>
      <w:r>
        <w:rPr>
          <w:rFonts w:ascii="Times New Roman" w:cs="Times New Roman" w:eastAsia="Times New Roman" w:hAnsi="Times New Roman"/>
          <w:sz w:val="24"/>
          <w:szCs w:val="24"/>
        </w:rPr>
        <w:t xml:space="preserve"> The files may contain self-reported, masked or generated values, and the SDS label's provenance is unstated. </w:t>
      </w:r>
      <w:r>
        <w:rPr>
          <w:rFonts w:ascii="Times New Roman" w:cs="Times New Roman" w:eastAsia="Times New Roman" w:hAnsi="Times New Roman"/>
          <w:b/>
          <w:bCs/>
          <w:sz w:val="24"/>
          <w:szCs w:val="24"/>
        </w:rPr>
        <w:t xml:space="preserve">L4 No linkage.</w:t>
      </w:r>
      <w:r>
        <w:rPr>
          <w:rFonts w:ascii="Times New Roman" w:cs="Times New Roman" w:eastAsia="Times New Roman" w:hAnsi="Times New Roman"/>
          <w:sz w:val="24"/>
          <w:szCs w:val="24"/>
        </w:rPr>
        <w:t xml:space="preserve"> There is no person-level link between files, so alignment is across populations. </w:t>
      </w:r>
      <w:r>
        <w:rPr>
          <w:rFonts w:ascii="Times New Roman" w:cs="Times New Roman" w:eastAsia="Times New Roman" w:hAnsi="Times New Roman"/>
          <w:b/>
          <w:bCs/>
          <w:sz w:val="24"/>
          <w:szCs w:val="24"/>
        </w:rPr>
        <w:t xml:space="preserve">L5 Construct validity.</w:t>
      </w:r>
      <w:r>
        <w:rPr>
          <w:rFonts w:ascii="Times New Roman" w:cs="Times New Roman" w:eastAsia="Times New Roman" w:hAnsi="Times New Roman"/>
          <w:sz w:val="24"/>
          <w:szCs w:val="24"/>
        </w:rPr>
        <w:t xml:space="preserve"> Mapping posting skills onto the five JDS dimensions is our construct; it is tested for sensitivity but not validated against JDS item content. </w:t>
      </w:r>
      <w:r>
        <w:rPr>
          <w:rFonts w:ascii="Times New Roman" w:cs="Times New Roman" w:eastAsia="Times New Roman" w:hAnsi="Times New Roman"/>
          <w:b/>
          <w:bCs/>
          <w:sz w:val="24"/>
          <w:szCs w:val="24"/>
        </w:rPr>
        <w:t xml:space="preserve">L6 Taxonomy fit.</w:t>
      </w:r>
      <w:r>
        <w:rPr>
          <w:rFonts w:ascii="Times New Roman" w:cs="Times New Roman" w:eastAsia="Times New Roman" w:hAnsi="Times New Roman"/>
          <w:sz w:val="24"/>
          <w:szCs w:val="24"/>
        </w:rPr>
        <w:t xml:space="preserve"> External taxonomies may fit Indian technology postings poorly. </w:t>
      </w:r>
      <w:r>
        <w:rPr>
          <w:rFonts w:ascii="Times New Roman" w:cs="Times New Roman" w:eastAsia="Times New Roman" w:hAnsi="Times New Roman"/>
          <w:b/>
          <w:bCs/>
          <w:sz w:val="24"/>
          <w:szCs w:val="24"/>
        </w:rPr>
        <w:t xml:space="preserve">L7 Sampling.</w:t>
      </w:r>
      <w:r>
        <w:rPr>
          <w:rFonts w:ascii="Times New Roman" w:cs="Times New Roman" w:eastAsia="Times New Roman" w:hAnsi="Times New Roman"/>
          <w:sz w:val="24"/>
          <w:szCs w:val="24"/>
        </w:rPr>
        <w:t xml:space="preserve"> Postings are not the whole market and undisclosed salaries may be selected. </w:t>
      </w:r>
      <w:r>
        <w:rPr>
          <w:rFonts w:ascii="Times New Roman" w:cs="Times New Roman" w:eastAsia="Times New Roman" w:hAnsi="Times New Roman"/>
          <w:b/>
          <w:bCs/>
          <w:sz w:val="24"/>
          <w:szCs w:val="24"/>
        </w:rPr>
        <w:t xml:space="preserve">L8 No time axis.</w:t>
      </w:r>
      <w:r>
        <w:rPr>
          <w:rFonts w:ascii="Times New Roman" w:cs="Times New Roman" w:eastAsia="Times New Roman" w:hAnsi="Times New Roman"/>
          <w:sz w:val="24"/>
          <w:szCs w:val="24"/>
        </w:rPr>
        <w:t xml:space="preserve"> No trend or trajectory is observed. </w:t>
      </w:r>
      <w:r>
        <w:rPr>
          <w:rFonts w:ascii="Times New Roman" w:cs="Times New Roman" w:eastAsia="Times New Roman" w:hAnsi="Times New Roman"/>
          <w:b/>
          <w:bCs/>
          <w:sz w:val="24"/>
          <w:szCs w:val="24"/>
        </w:rPr>
        <w:t xml:space="preserve">L9 Personality.</w:t>
      </w:r>
      <w:r>
        <w:rPr>
          <w:rFonts w:ascii="Times New Roman" w:cs="Times New Roman" w:eastAsia="Times New Roman" w:hAnsi="Times New Roman"/>
          <w:sz w:val="24"/>
          <w:szCs w:val="24"/>
        </w:rPr>
        <w:t xml:space="preserve"> Trait scores are normalised self-descriptions; interpretations must be cautious. </w:t>
      </w:r>
      <w:r>
        <w:rPr>
          <w:rFonts w:ascii="Times New Roman" w:cs="Times New Roman" w:eastAsia="Times New Roman" w:hAnsi="Times New Roman"/>
          <w:b/>
          <w:bCs/>
          <w:sz w:val="24"/>
          <w:szCs w:val="24"/>
        </w:rPr>
        <w:t xml:space="preserve">L10 Generalisation.</w:t>
      </w:r>
      <w:r>
        <w:rPr>
          <w:rFonts w:ascii="Times New Roman" w:cs="Times New Roman" w:eastAsia="Times New Roman" w:hAnsi="Times New Roman"/>
          <w:sz w:val="24"/>
          <w:szCs w:val="24"/>
        </w:rPr>
        <w:t xml:space="preserve"> Cross-validation does not show real-world performance.</w:t>
      </w:r>
    </w:p>
    <w:p>
      <w:pPr>
        <w:spacing w:after="100" w:before="0" w:line="240"/>
        <w:jc w:val="both"/>
      </w:pPr>
      <w:r>
        <w:rPr>
          <w:rFonts w:ascii="Times New Roman" w:cs="Times New Roman" w:eastAsia="Times New Roman" w:hAnsi="Times New Roman"/>
          <w:b/>
          <w:bCs/>
          <w:sz w:val="24"/>
          <w:szCs w:val="24"/>
        </w:rPr>
        <w:t xml:space="preserve">Ethics.</w:t>
      </w:r>
      <w:r>
        <w:rPr>
          <w:rFonts w:ascii="Times New Roman" w:cs="Times New Roman" w:eastAsia="Times New Roman" w:hAnsi="Times New Roman"/>
          <w:sz w:val="24"/>
          <w:szCs w:val="24"/>
        </w:rPr>
        <w:t xml:space="preserve"> We do not build or recommend a tool that scores individuals. The output of any model is an estimate of the observed class under a learned statistical relationship, and personality results in particular must not be used to screen, rank or exclude people. The auditor's language rule blocks deterministic and discriminatory phrasing in generated text.</w:t>
      </w:r>
    </w:p>
    <w:p>
      <w:pPr>
        <w:pStyle w:val="Heading1"/>
        <w:keepNext/>
      </w:pPr>
      <w:r>
        <w:rPr>
          <w:rFonts w:ascii="Times New Roman" w:cs="Times New Roman" w:eastAsia="Times New Roman" w:hAnsi="Times New Roman"/>
        </w:rPr>
        <w:t xml:space="preserve">8. Conclusion and Future Work</w:t>
      </w:r>
    </w:p>
    <w:p>
      <w:pPr>
        <w:spacing w:after="100" w:before="0" w:line="240"/>
        <w:jc w:val="both"/>
      </w:pPr>
      <w:r>
        <w:rPr>
          <w:rFonts w:ascii="Times New Roman" w:cs="Times New Roman" w:eastAsia="Times New Roman" w:hAnsi="Times New Roman"/>
          <w:sz w:val="24"/>
          <w:szCs w:val="24"/>
        </w:rPr>
        <w:t xml:space="preserve">We defined a problem the four files can support, built the machinery to test it, and fixed in advance how each outcome will be read. The contribution is the composition: a falsifiable organising hypothesis tested in three independent datasets, a boundary-preserving architecture in which datasets meet only at shared constructs, and an audit layer that makes every number traceable. None of the individual techniques is new, and we do not present them as such. Future work, in order of value: linked longitudinal data collected with consent; dated postings for genuine trend analysis; documented JDS items to validate the bridge; a localised skill taxonomy for Indian postings; and causal designs (for instance, matched cohorts) that observational files cannot support.</w:t>
      </w:r>
    </w:p>
    <w:p>
      <w:pPr>
        <w:pStyle w:val="Heading2"/>
        <w:keepNext/>
      </w:pPr>
      <w:r>
        <w:rPr>
          <w:rFonts w:ascii="Times New Roman" w:cs="Times New Roman" w:eastAsia="Times New Roman" w:hAnsi="Times New Roman"/>
        </w:rPr>
        <w:t xml:space="preserve">References</w:t>
      </w:r>
    </w:p>
    <w:p>
      <w:pPr>
        <w:spacing w:after="40" w:line="240"/>
        <w:ind w:left="360" w:hanging="360"/>
        <w:jc w:val="left"/>
      </w:pPr>
      <w:r>
        <w:rPr>
          <w:rFonts w:ascii="Times New Roman" w:cs="Times New Roman" w:eastAsia="Times New Roman" w:hAnsi="Times New Roman"/>
          <w:sz w:val="20"/>
          <w:szCs w:val="20"/>
        </w:rPr>
        <w:t xml:space="preserve">[1] Angelopoulos, A. N., and Bates, S. (2021). A gentle introduction to conformal prediction and distribution-free uncertainty quantification. arXiv:2107.07511.</w:t>
      </w:r>
    </w:p>
    <w:p>
      <w:pPr>
        <w:spacing w:after="40" w:line="240"/>
        <w:ind w:left="360" w:hanging="360"/>
        <w:jc w:val="left"/>
      </w:pPr>
      <w:r>
        <w:rPr>
          <w:rFonts w:ascii="Times New Roman" w:cs="Times New Roman" w:eastAsia="Times New Roman" w:hAnsi="Times New Roman"/>
          <w:sz w:val="20"/>
          <w:szCs w:val="20"/>
        </w:rPr>
        <w:t xml:space="preserve">[2] Carter, N. T., et al. (2014). Uncovering curvilinear relationships between conscientiousness and job performance: How theoretically appropriate measurement makes an empirical difference. Journal of Applied Psychology.</w:t>
      </w:r>
    </w:p>
    <w:p>
      <w:pPr>
        <w:spacing w:after="40" w:line="240"/>
        <w:ind w:left="360" w:hanging="360"/>
        <w:jc w:val="left"/>
      </w:pPr>
      <w:r>
        <w:rPr>
          <w:rFonts w:ascii="Times New Roman" w:cs="Times New Roman" w:eastAsia="Times New Roman" w:hAnsi="Times New Roman"/>
          <w:sz w:val="20"/>
          <w:szCs w:val="20"/>
        </w:rPr>
        <w:t xml:space="preserve">[3] Deming, D., and Kahn, L. B. Skill requirements across firms and labor markets: Evidence from job postings for professionals. NBER Working Paper 23328.</w:t>
      </w:r>
    </w:p>
    <w:p>
      <w:pPr>
        <w:spacing w:after="40" w:line="240"/>
        <w:ind w:left="360" w:hanging="360"/>
        <w:jc w:val="left"/>
      </w:pPr>
      <w:r>
        <w:rPr>
          <w:rFonts w:ascii="Times New Roman" w:cs="Times New Roman" w:eastAsia="Times New Roman" w:hAnsi="Times New Roman"/>
          <w:sz w:val="20"/>
          <w:szCs w:val="20"/>
        </w:rPr>
        <w:t xml:space="preserve">[4] Firth, D. (1993). Bias reduction of maximum likelihood estimates. Biometrika, 80(1), 27-38.</w:t>
      </w:r>
    </w:p>
    <w:p>
      <w:pPr>
        <w:spacing w:after="40" w:line="240"/>
        <w:ind w:left="360" w:hanging="360"/>
        <w:jc w:val="left"/>
      </w:pPr>
      <w:r>
        <w:rPr>
          <w:rFonts w:ascii="Times New Roman" w:cs="Times New Roman" w:eastAsia="Times New Roman" w:hAnsi="Times New Roman"/>
          <w:sz w:val="20"/>
          <w:szCs w:val="20"/>
        </w:rPr>
        <w:t xml:space="preserve">[5] FIRMHIVE: recursive agent-based framework for firmware analysis with a Tree of Agents and Persistent Knowledge Hub. </w:t>
      </w:r>
      <w:r>
        <w:rPr>
          <w:rFonts w:ascii="Times New Roman" w:cs="Times New Roman" w:eastAsia="Times New Roman" w:hAnsi="Times New Roman"/>
          <w:b/>
          <w:bCs/>
          <w:sz w:val="20"/>
          <w:szCs w:val="20"/>
          <w:highlight w:val="yellow"/>
          <w:highlightCs w:val="yellow"/>
        </w:rPr>
        <w:t xml:space="preserve">[authors, year, venue to be confirmed]</w:t>
      </w:r>
    </w:p>
    <w:p>
      <w:pPr>
        <w:spacing w:after="40" w:line="240"/>
        <w:ind w:left="360" w:hanging="360"/>
        <w:jc w:val="left"/>
      </w:pPr>
      <w:r>
        <w:rPr>
          <w:rFonts w:ascii="Times New Roman" w:cs="Times New Roman" w:eastAsia="Times New Roman" w:hAnsi="Times New Roman"/>
          <w:sz w:val="20"/>
          <w:szCs w:val="20"/>
        </w:rPr>
        <w:t xml:space="preserve">[6] Hollmann, N., et al. (2025). Accurate predictions on small data with a tabular foundation model. Nature, 637, 319-326.</w:t>
      </w:r>
    </w:p>
    <w:p>
      <w:pPr>
        <w:spacing w:after="40" w:line="240"/>
        <w:ind w:left="360" w:hanging="360"/>
        <w:jc w:val="left"/>
      </w:pPr>
      <w:r>
        <w:rPr>
          <w:rFonts w:ascii="Times New Roman" w:cs="Times New Roman" w:eastAsia="Times New Roman" w:hAnsi="Times New Roman"/>
          <w:sz w:val="20"/>
          <w:szCs w:val="20"/>
        </w:rPr>
        <w:t xml:space="preserve">[7] Imperial College London / Pissarides Review (2024). Patterns of co-occurrent skills in UK job adverts. arXiv:2406.03139.</w:t>
      </w:r>
    </w:p>
    <w:p>
      <w:pPr>
        <w:spacing w:after="40" w:line="240"/>
        <w:ind w:left="360" w:hanging="360"/>
        <w:jc w:val="left"/>
      </w:pPr>
      <w:r>
        <w:rPr>
          <w:rFonts w:ascii="Times New Roman" w:cs="Times New Roman" w:eastAsia="Times New Roman" w:hAnsi="Times New Roman"/>
          <w:sz w:val="20"/>
          <w:szCs w:val="20"/>
        </w:rPr>
        <w:t xml:space="preserve">[8] Le, H., et al. (2011). Too much of a good thing: Curvilinear relationships between personality traits and job performance. Journal of Applied Psychology.</w:t>
      </w:r>
    </w:p>
    <w:p>
      <w:pPr>
        <w:spacing w:after="40" w:line="240"/>
        <w:ind w:left="360" w:hanging="360"/>
        <w:jc w:val="left"/>
      </w:pPr>
      <w:r>
        <w:rPr>
          <w:rFonts w:ascii="Times New Roman" w:cs="Times New Roman" w:eastAsia="Times New Roman" w:hAnsi="Times New Roman"/>
          <w:sz w:val="20"/>
          <w:szCs w:val="20"/>
        </w:rPr>
        <w:t xml:space="preserve">[9] Monroe, B. L., Colaresi, M. P., and Quinn, K. M. (2008). Fightin' words: Lexical feature selection and evaluation for identifying the content of political conflict. Political Analysis, 16(4).</w:t>
      </w:r>
    </w:p>
    <w:p>
      <w:pPr>
        <w:spacing w:after="40" w:line="240"/>
        <w:ind w:left="360" w:hanging="360"/>
        <w:jc w:val="left"/>
      </w:pPr>
      <w:r>
        <w:rPr>
          <w:rFonts w:ascii="Times New Roman" w:cs="Times New Roman" w:eastAsia="Times New Roman" w:hAnsi="Times New Roman"/>
          <w:sz w:val="20"/>
          <w:szCs w:val="20"/>
        </w:rPr>
        <w:t xml:space="preserve">[10] Nadeau, C., and Bengio, Y. (2003). Inference for the generalization error. Machine Learning, 52, 239-281.</w:t>
      </w:r>
    </w:p>
    <w:p>
      <w:pPr>
        <w:spacing w:after="40" w:line="240"/>
        <w:ind w:left="360" w:hanging="360"/>
        <w:jc w:val="left"/>
      </w:pPr>
      <w:r>
        <w:rPr>
          <w:rFonts w:ascii="Times New Roman" w:cs="Times New Roman" w:eastAsia="Times New Roman" w:hAnsi="Times New Roman"/>
          <w:sz w:val="20"/>
          <w:szCs w:val="20"/>
        </w:rPr>
        <w:t xml:space="preserve">[11] Nori, H., et al. (2019). InterpretML: A unified framework for machine learning interpretability. arXiv:1909.09223.</w:t>
      </w:r>
    </w:p>
    <w:p>
      <w:pPr>
        <w:spacing w:after="40" w:line="240"/>
        <w:ind w:left="360" w:hanging="360"/>
        <w:jc w:val="left"/>
      </w:pPr>
      <w:r>
        <w:rPr>
          <w:rFonts w:ascii="Times New Roman" w:cs="Times New Roman" w:eastAsia="Times New Roman" w:hAnsi="Times New Roman"/>
          <w:sz w:val="20"/>
          <w:szCs w:val="20"/>
        </w:rPr>
        <w:t xml:space="preserve">[12] Using digital traces to analyze software work: skills, careers and programming languages. arXiv:2504.03581.</w:t>
      </w:r>
    </w:p>
    <w:p>
      <w:r>
        <w:br w:type="page"/>
      </w:r>
    </w:p>
    <w:p>
      <w:pPr>
        <w:pStyle w:val="Heading1"/>
        <w:keepNext/>
      </w:pPr>
      <w:r>
        <w:rPr>
          <w:rFonts w:ascii="Times New Roman" w:cs="Times New Roman" w:eastAsia="Times New Roman" w:hAnsi="Times New Roman"/>
        </w:rPr>
        <w:t xml:space="preserve">Appendix A. Data Dictionary (as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File</w:t>
            </w:r>
          </w:p>
        </w:tc>
        <w:tc>
          <w:tcPr>
            <w:tcW w:type="dxa" w:w="2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Column</w:t>
            </w:r>
          </w:p>
        </w:tc>
        <w:tc>
          <w:tcPr>
            <w:tcW w:type="dxa" w:w="38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Meaning and handling</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reference_no</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reference; not a feature; repeated values investigated (L02)</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company_name, job_title</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Categorical; normalised (Table 7)</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min_experience</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Years; parsed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avg_salary, min_salary, max_salary</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Strings such as 7.8L; lakh per annum after parsing</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num_of_jobs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Openings; demand intensity</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s_no</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experience, salary</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Free-text ranges; parsed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job_description, job_desig, job_type, location</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Text and categorical; NLP and category normalisation</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key_skills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Delimited skill strings; normalised to canonical skills</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big_data_skills, maths-stats_skills, coding_skills, ai_and_ml_skills, dashboard_and_storytelling_skills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Scores 1 to 5</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salary_hike_high_or_low</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1 high, 0 low</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neuroticism, extraversion, openness_to_experience, agreeableness, conscientiousness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Normalised trait scores; column names with spaces normalised in code, originals preserved here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success_classification_high_low</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high or low success</w:t>
            </w:r>
          </w:p>
        </w:tc>
      </w:tr>
    </w:tbl>
    <w:p>
      <w:pPr>
        <w:pStyle w:val="Heading1"/>
        <w:keepNext/>
      </w:pPr>
      <w:r>
        <w:rPr>
          <w:rFonts w:ascii="Times New Roman" w:cs="Times New Roman" w:eastAsia="Times New Roman" w:hAnsi="Times New Roman"/>
        </w:rPr>
        <w:t xml:space="preserve">Appendix B. Figure Specifications</w:t>
      </w:r>
    </w:p>
    <w:p>
      <w:pPr>
        <w:keepNext/>
        <w:spacing w:after="60" w:before="120" w:line="240"/>
        <w:jc w:val="left"/>
      </w:pPr>
      <w:r>
        <w:rPr>
          <w:rFonts w:ascii="Times New Roman" w:cs="Times New Roman" w:eastAsia="Times New Roman" w:hAnsi="Times New Roman"/>
          <w:i/>
          <w:iCs/>
          <w:sz w:val="20"/>
          <w:szCs w:val="20"/>
        </w:rPr>
        <w:t xml:space="preserve">Table B1. Figures. F1 to F4 are included in the note; F5 onward are generated by the final run from the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00"/>
        <w:gridCol w:w="2426"/>
      </w:tblGrid>
      <w:tr>
        <w:trPr>
          <w:cantSplit/>
          <w:tblHeader/>
        </w:trPr>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ID</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Figure</w:t>
            </w:r>
          </w:p>
        </w:tc>
        <w:tc>
          <w:tcPr>
            <w:tcW w:type="dxa" w:w="36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Encoding</w:t>
            </w:r>
          </w:p>
        </w:tc>
        <w:tc>
          <w:tcPr>
            <w:tcW w:type="dxa" w:w="24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Annotation or test</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 to F4</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Architecture, no-false-join, validation protocol, preliminary benchmark</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As in Sections 2 and 5</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Done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F5</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by role family</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Violin plus median and IQR, log LPA</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n per family; Dunn-Holm brackets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F6</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Experience versus salary</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Hexbin plus LOESS per role family</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bands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F7</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Role-skill heatmap</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30 skills by 8 role families, colour = log-odds z</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Hatching where q ≥ 0.05</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F8</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Missingness and disclosure</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Missingness matrix; role mix bars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Chi-squared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F9</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Masked-skill validation</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ROC and lift by decile</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Versus frequency baseline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F10</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Signal Index rank intervals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Dot plot of rank interval for top 25 skills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10,000 Dirichlet weight draws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F11</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Career Opportunity Frontier</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x openings, y median log salary, bubble experience, colour role</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ellipses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F12</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Demand-reward alignment</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 dimension: demand share against JDS log-odds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95% joint ellipse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F13</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Benchmark leaderboard</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Forest plot of AUC over 100 outer folds, JDS and SDS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Shuffled-target null band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F14</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ROC and PR curves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Per-fold light lines with mean</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 model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F15</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Reliability diagrams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Five bins before and after Platt</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band; ECE, Brier</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F16</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Conformal coverage</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Coverage versus 1 − α; set-size histogram</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α = 0.10</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F17</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Shape functions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EBM shapes with bagged intervals; PDP</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Conscientiousness plateau check</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F18</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Interaction surfaces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Probability heatmaps for two pairs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Convex hull of data marked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F19</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Ablations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Bars with intervals per Table 12</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Paired ΔAUC</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F20</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Robustness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AUC across seeds, splits and noise levels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Collapse points flagged</w:t>
            </w:r>
          </w:p>
        </w:tc>
      </w:tr>
    </w:tbl>
    <w:p>
      <w:pPr>
        <w:pStyle w:val="Heading1"/>
        <w:keepNext/>
      </w:pPr>
      <w:r>
        <w:rPr>
          <w:rFonts w:ascii="Times New Roman" w:cs="Times New Roman" w:eastAsia="Times New Roman" w:hAnsi="Times New Roman"/>
        </w:rPr>
        <w:t xml:space="preserve">Appendix C. Evidence Registry Record</w:t>
      </w:r>
    </w:p>
    <w:p>
      <w:pPr>
        <w:shd w:fill="F3F4F6" w:val="clear"/>
        <w:spacing w:after="0" w:line="240"/>
      </w:pPr>
      <w:r>
        <w:rPr>
          <w:rFonts w:ascii="Courier New" w:cs="Courier New" w:eastAsia="Courier New" w:hAnsi="Courier New"/>
          <w:sz w:val="19"/>
          <w:szCs w:val="19"/>
        </w:rPr>
        <w:t xml:space="preserve">claim_id:   H4-int-001</w:t>
      </w:r>
    </w:p>
    <w:p>
      <w:pPr>
        <w:shd w:fill="F3F4F6" w:val="clear"/>
        <w:spacing w:after="0" w:line="240"/>
      </w:pPr>
      <w:r>
        <w:rPr>
          <w:rFonts w:ascii="Courier New" w:cs="Courier New" w:eastAsia="Courier New" w:hAnsi="Courier New"/>
          <w:sz w:val="19"/>
          <w:szCs w:val="19"/>
        </w:rPr>
        <w:t xml:space="preserve">statement:  "Adding the storytelling x maths-statistics interaction changes JDS hike log-odds"</w:t>
      </w:r>
    </w:p>
    <w:p>
      <w:pPr>
        <w:shd w:fill="F3F4F6" w:val="clear"/>
        <w:spacing w:after="0" w:line="240"/>
      </w:pPr>
      <w:r>
        <w:rPr>
          <w:rFonts w:ascii="Courier New" w:cs="Courier New" w:eastAsia="Courier New" w:hAnsi="Courier New"/>
          <w:sz w:val="19"/>
          <w:szCs w:val="19"/>
        </w:rPr>
        <w:t xml:space="preserve">dataset:    JDS (tag O/M)</w:t>
      </w:r>
    </w:p>
    <w:p>
      <w:pPr>
        <w:shd w:fill="F3F4F6" w:val="clear"/>
        <w:spacing w:after="0" w:line="240"/>
      </w:pPr>
      <w:r>
        <w:rPr>
          <w:rFonts w:ascii="Courier New" w:cs="Courier New" w:eastAsia="Courier New" w:hAnsi="Courier New"/>
          <w:sz w:val="19"/>
          <w:szCs w:val="19"/>
        </w:rPr>
        <w:t xml:space="preserve">method:     Firth logistic; LRT additive vs interaction; 2,000-rep bootstrap</w:t>
      </w:r>
    </w:p>
    <w:p>
      <w:pPr>
        <w:shd w:fill="F3F4F6" w:val="clear"/>
        <w:spacing w:after="0" w:line="240"/>
      </w:pPr>
      <w:r>
        <w:rPr>
          <w:rFonts w:ascii="Courier New" w:cs="Courier New" w:eastAsia="Courier New" w:hAnsi="Courier New"/>
          <w:sz w:val="19"/>
          <w:szCs w:val="19"/>
        </w:rPr>
        <w:t xml:space="preserve">metric:     interaction coefficient (log-odds per SD^2); delta-AUC (nested CV)</w:t>
      </w:r>
    </w:p>
    <w:p>
      <w:pPr>
        <w:shd w:fill="F3F4F6" w:val="clear"/>
        <w:spacing w:after="0" w:line="240"/>
      </w:pPr>
      <w:r>
        <w:t>value:      0.416</w:t>
      </w:r>
    </w:p>
    <w:p>
      <w:pPr>
        <w:shd w:fill="F3F4F6" w:val="clear"/>
        <w:spacing w:after="0" w:line="240"/>
      </w:pPr>
      <w:r>
        <w:t>ci95:       0.416</w:t>
      </w:r>
    </w:p>
    <w:p>
      <w:pPr>
        <w:shd w:fill="F3F4F6" w:val="clear"/>
        <w:spacing w:after="0" w:line="240"/>
      </w:pPr>
      <w:r>
        <w:rPr>
          <w:rFonts w:ascii="Courier New" w:cs="Courier New" w:eastAsia="Courier New" w:hAnsi="Courier New"/>
          <w:sz w:val="19"/>
          <w:szCs w:val="19"/>
        </w:rPr>
        <w:t xml:space="preserve">n:          139</w:t>
      </w:r>
    </w:p>
    <w:p>
      <w:pPr>
        <w:shd w:fill="F3F4F6" w:val="clear"/>
        <w:spacing w:after="0" w:line="240"/>
      </w:pPr>
      <w:r>
        <w:t>limitation: "n = 139; MDE = 0.416; association only"</w:t>
      </w:r>
    </w:p>
    <w:p>
      <w:pPr>
        <w:shd w:fill="F3F4F6" w:val="clear"/>
        <w:spacing w:after="0" w:line="240"/>
      </w:pPr>
      <w:r>
        <w:t>code_ref:   src/models/jds_interaction.py @ 8a0ab69</w:t>
      </w:r>
    </w:p>
    <w:p>
      <w:pPr>
        <w:shd w:fill="F3F4F6" w:val="clear"/>
        <w:spacing w:after="0" w:line="240"/>
      </w:pPr>
      <w:r>
        <w:rPr>
          <w:rFonts w:ascii="Courier New" w:cs="Courier New" w:eastAsia="Courier New" w:hAnsi="Courier New"/>
          <w:sz w:val="19"/>
          <w:szCs w:val="19"/>
        </w:rPr>
        <w:t xml:space="preserve">status:     pending_audit</w:t>
      </w:r>
    </w:p>
    <w:p>
      <w:pPr>
        <w:spacing w:after="80"/>
      </w:pPr>
    </w:p>
    <w:p>
      <w:pPr>
        <w:pStyle w:val="Heading1"/>
        <w:keepNext/>
      </w:pPr>
      <w:r>
        <w:rPr>
          <w:rFonts w:ascii="Times New Roman" w:cs="Times New Roman" w:eastAsia="Times New Roman" w:hAnsi="Times New Roman"/>
        </w:rPr>
        <w:t xml:space="preserve">Appendix D. Hyper-parameter Search Spaces (inner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Model</w:t>
            </w:r>
          </w:p>
        </w:tc>
        <w:tc>
          <w:tcPr>
            <w:tcW w:type="dxa" w:w="68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Search space</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Logistic (L2)</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 in 13 log-spaced values from 1e-3 to 1e3</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Random forest, extra trees</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500 trees; max_depth {2, 3, 4, none}; min_samples_leaf {1, 2, 4, 8}; max_features {sqrt,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HistGB</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learning_rate {0.03, 0.1}; max_depth {2, 3}; max_iter {100, 300}; l2 {0, 1,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LightGBM</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num_leaves {4, 8}; min_child_samples {5, 10, 20}; learning_rate {0.03, 0.1}; n_estimators {100, 300}; reg_lambda {0, 1,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EBM</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interactions {0, 3, 5}; outer_bags 25; learning_rate 0.01</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TabPFN</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Defaults; no tuning</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 meta-learner</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L2 logistic, C {0.1, 1, 10}</w:t>
            </w:r>
          </w:p>
        </w:tc>
      </w:tr>
    </w:tbl>
    <w:p>
      <w:pPr>
        <w:pStyle w:val="Heading1"/>
        <w:keepNext/>
      </w:pPr>
      <w:r>
        <w:rPr>
          <w:rFonts w:ascii="Times New Roman" w:cs="Times New Roman" w:eastAsia="Times New Roman" w:hAnsi="Times New Roman"/>
        </w:rPr>
        <w:t xml:space="preserve">Appendix E. Reproducibility</w:t>
      </w:r>
    </w:p>
    <w:p>
      <w:pPr>
        <w:pStyle w:val="ListParagraph"/>
        <w:numPr>
          <w:ilvl w:val="0"/>
          <w:numId w:val="2"/>
        </w:numPr>
        <w:spacing w:after="50" w:line="240"/>
        <w:jc w:val="both"/>
      </w:pPr>
      <w:r>
        <w:rPr>
          <w:rFonts w:ascii="Times New Roman" w:cs="Times New Roman" w:eastAsia="Times New Roman" w:hAnsi="Times New Roman"/>
          <w:sz w:val="24"/>
          <w:szCs w:val="24"/>
        </w:rPr>
        <w:t xml:space="preserve">One command (make all) reruns audit, features, benchmark, registry and note rendering from the raw files.</w:t>
      </w:r>
    </w:p>
    <w:p>
      <w:pPr>
        <w:pStyle w:val="ListParagraph"/>
        <w:numPr>
          <w:ilvl w:val="0"/>
          <w:numId w:val="2"/>
        </w:numPr>
        <w:spacing w:after="50" w:line="240"/>
        <w:jc w:val="both"/>
      </w:pPr>
      <w:r>
        <w:rPr>
          <w:rFonts w:ascii="Times New Roman" w:cs="Times New Roman" w:eastAsia="Times New Roman" w:hAnsi="Times New Roman"/>
          <w:sz w:val="24"/>
          <w:szCs w:val="24"/>
        </w:rPr>
        <w:t xml:space="preserve">Seeds 0 to 19 for repeats; library versions pinned in requirements.txt </w:t>
      </w:r>
      <w:r>
        <w:rPr>
          <w:rFonts w:ascii="Times New Roman" w:cs="Times New Roman" w:eastAsia="Times New Roman" w:hAnsi="Times New Roman"/>
          <w:b/>
          <w:bCs/>
          <w:sz w:val="24"/>
          <w:szCs w:val="24"/>
          <w:highlight w:val="yellow"/>
          <w:highlightCs w:val="yellow"/>
        </w:rPr>
        <w:t xml:space="preserve">[versions]</w:t>
      </w:r>
      <w:r>
        <w:rPr>
          <w:rFonts w:ascii="Times New Roman" w:cs="Times New Roman" w:eastAsia="Times New Roman" w:hAnsi="Times New Roman"/>
          <w:sz w:val="24"/>
          <w:szCs w:val="24"/>
        </w:rPr>
        <w:t xml:space="preserve">; run log hash </w:t>
      </w:r>
      <w:r>
        <w:rPr>
          <w:rFonts w:ascii="Times New Roman" w:cs="Times New Roman" w:eastAsia="Times New Roman" w:hAnsi="Times New Roman"/>
          <w:b/>
          <w:bCs/>
          <w:sz w:val="24"/>
          <w:szCs w:val="24"/>
          <w:highlight w:val="yellow"/>
          <w:highlightCs w:val="yellow"/>
        </w:rPr>
        <w:t xml:space="preserve">[hash]</w:t>
      </w:r>
      <w:r>
        <w:rPr>
          <w:rFonts w:ascii="Times New Roman" w:cs="Times New Roman" w:eastAsia="Times New Roman" w:hAnsi="Times New Roman"/>
          <w:sz w:val="24"/>
          <w:szCs w:val="24"/>
        </w:rPr>
        <w:t xml:space="preserve">.</w:t>
      </w:r>
    </w:p>
    <w:p>
      <w:pPr>
        <w:pStyle w:val="ListParagraph"/>
        <w:numPr>
          <w:ilvl w:val="0"/>
          <w:numId w:val="2"/>
        </w:numPr>
        <w:spacing w:after="50" w:line="240"/>
        <w:jc w:val="both"/>
      </w:pPr>
      <w:r>
        <w:rPr>
          <w:rFonts w:ascii="Times New Roman" w:cs="Times New Roman" w:eastAsia="Times New Roman" w:hAnsi="Times New Roman"/>
          <w:sz w:val="24"/>
          <w:szCs w:val="24"/>
        </w:rPr>
        <w:t xml:space="preserve">No hidden notebook state: notebooks only display registry outputs.</w:t>
      </w:r>
    </w:p>
    <w:p>
      <w:pPr>
        <w:pStyle w:val="ListParagraph"/>
        <w:numPr>
          <w:ilvl w:val="0"/>
          <w:numId w:val="2"/>
        </w:numPr>
        <w:spacing w:after="50" w:line="240"/>
        <w:jc w:val="both"/>
      </w:pPr>
      <w:r>
        <w:t>Code excerpts and screenshots of the pipeline run: Reproducibility logs and interactive graphs available at http://localhost:8501 or GitHub..</w:t>
      </w:r>
    </w:p>
    <w:p>
      <w:r>
        <w:br w:type="page"/>
      </w:r>
    </w:p>
    <w:p>
      <w:pPr>
        <w:pStyle w:val="Heading1"/>
        <w:keepNext/>
      </w:pPr>
      <w:r>
        <w:rPr>
          <w:rFonts w:ascii="Times New Roman" w:cs="Times New Roman" w:eastAsia="Times New Roman" w:hAnsi="Times New Roman"/>
        </w:rPr>
        <w:t xml:space="preserve">Appendix F. Draft Checklist (delete before submission)</w:t>
      </w:r>
    </w:p>
    <w:p>
      <w:pPr>
        <w:pStyle w:val="ListParagraph"/>
        <w:numPr>
          <w:ilvl w:val="0"/>
          <w:numId w:val="2"/>
        </w:numPr>
        <w:spacing w:after="50" w:line="240"/>
        <w:jc w:val="both"/>
      </w:pPr>
      <w:r>
        <w:rPr>
          <w:rFonts w:ascii="Times New Roman" w:cs="Times New Roman" w:eastAsia="Times New Roman" w:hAnsi="Times New Roman"/>
          <w:sz w:val="24"/>
          <w:szCs w:val="24"/>
        </w:rPr>
        <w:t xml:space="preserve">Replace every highlighted bracket with a value from the Evidence Registry; if a value cannot be produced, delete the sentence that depends on it.</w:t>
      </w:r>
    </w:p>
    <w:p>
      <w:pPr>
        <w:pStyle w:val="ListParagraph"/>
        <w:numPr>
          <w:ilvl w:val="0"/>
          <w:numId w:val="2"/>
        </w:numPr>
        <w:spacing w:after="50" w:line="240"/>
        <w:jc w:val="both"/>
      </w:pPr>
      <w:r>
        <w:rPr>
          <w:rFonts w:ascii="Times New Roman" w:cs="Times New Roman" w:eastAsia="Times New Roman" w:hAnsi="Times New Roman"/>
          <w:sz w:val="24"/>
          <w:szCs w:val="24"/>
        </w:rPr>
        <w:t xml:space="preserve">Replace Figure 4 and Table 13 with F13 and the final benchmark table; keep Figure 4 only in the appendix as the exploratory run.</w:t>
      </w:r>
    </w:p>
    <w:p>
      <w:pPr>
        <w:pStyle w:val="ListParagraph"/>
        <w:numPr>
          <w:ilvl w:val="0"/>
          <w:numId w:val="2"/>
        </w:numPr>
        <w:spacing w:after="50" w:line="240"/>
        <w:jc w:val="both"/>
      </w:pPr>
      <w:r>
        <w:rPr>
          <w:rFonts w:ascii="Times New Roman" w:cs="Times New Roman" w:eastAsia="Times New Roman" w:hAnsi="Times New Roman"/>
          <w:sz w:val="24"/>
          <w:szCs w:val="24"/>
        </w:rPr>
        <w:t xml:space="preserve">Insert F5 to F20 into the slots in Sections 3 and 4 and Appendix B; check page count (target 20 to 25 pages before this appendix).</w:t>
      </w:r>
    </w:p>
    <w:p>
      <w:pPr>
        <w:pStyle w:val="ListParagraph"/>
        <w:numPr>
          <w:ilvl w:val="0"/>
          <w:numId w:val="2"/>
        </w:numPr>
        <w:spacing w:after="50" w:line="240"/>
        <w:jc w:val="both"/>
      </w:pPr>
      <w:r>
        <w:rPr>
          <w:rFonts w:ascii="Times New Roman" w:cs="Times New Roman" w:eastAsia="Times New Roman" w:hAnsi="Times New Roman"/>
          <w:sz w:val="24"/>
          <w:szCs w:val="24"/>
        </w:rPr>
        <w:t xml:space="preserve">Confirm with the organizers whether model weights and taxonomies may be downloaded during the competition; if not, drop TabPFN, embeddings and ESCO and say so in Section 2.5.</w:t>
      </w:r>
    </w:p>
    <w:p>
      <w:pPr>
        <w:pStyle w:val="ListParagraph"/>
        <w:numPr>
          <w:ilvl w:val="0"/>
          <w:numId w:val="2"/>
        </w:numPr>
        <w:spacing w:after="50" w:line="240"/>
        <w:jc w:val="both"/>
      </w:pPr>
      <w:r>
        <w:rPr>
          <w:rFonts w:ascii="Times New Roman" w:cs="Times New Roman" w:eastAsia="Times New Roman" w:hAnsi="Times New Roman"/>
          <w:sz w:val="24"/>
          <w:szCs w:val="24"/>
        </w:rPr>
        <w:t xml:space="preserve">Fill the FIRMHIVE and Hutter reference details; confirm every citation against the source.</w:t>
      </w:r>
    </w:p>
    <w:p>
      <w:pPr>
        <w:pStyle w:val="ListParagraph"/>
        <w:numPr>
          <w:ilvl w:val="0"/>
          <w:numId w:val="2"/>
        </w:numPr>
        <w:spacing w:after="50" w:line="240"/>
        <w:jc w:val="both"/>
      </w:pPr>
      <w:r>
        <w:rPr>
          <w:rFonts w:ascii="Times New Roman" w:cs="Times New Roman" w:eastAsia="Times New Roman" w:hAnsi="Times New Roman"/>
          <w:sz w:val="24"/>
          <w:szCs w:val="24"/>
        </w:rPr>
        <w:t xml:space="preserve">Confirm that the SDS label provenance and JDS item content are not documented elsewhere in the organizers' materials.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ctrl shift n  |  SAS CU Hackathon 2026  |  Round 2 Approach Note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lin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line="240"/>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3fb451a80d373afb74debe4c83a75520c0a45d.png"/><Relationship Id="rId9" Type="http://schemas.openxmlformats.org/officeDocument/2006/relationships/image" Target="media/4b93497400b2d9d9accf7d635ef27d5a16316d8d.png"/><Relationship Id="rId10" Type="http://schemas.openxmlformats.org/officeDocument/2006/relationships/image" Target="media/f1d2ad4c9e3090fdc546b2c80bd1234c8f7b70e4.png"/><Relationship Id="rId11" Type="http://schemas.openxmlformats.org/officeDocument/2006/relationships/image" Target="media/9bc2cb278abcd64601284a4f9006ad9084e2ac5d.png"/><Relationship Id="rId12" Type="http://schemas.openxmlformats.org/officeDocument/2006/relationships/fontTable" Target="fontTable.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Intelligence Engine: Round 2 Approach Note</dc:title>
  <dc:creator>ctrl shift n</dc:creator>
  <cp:lastModifiedBy>Un-named</cp:lastModifiedBy>
  <cp:revision>1</cp:revision>
  <dcterms:created xsi:type="dcterms:W3CDTF">2026-10-07T10:00:56.854Z</dcterms:created>
  <dcterms:modified xsi:type="dcterms:W3CDTF">2026-10-07T10:00:56.859Z</dcterms:modified>
</cp:coreProperties>
</file>

<file path=docProps/custom.xml><?xml version="1.0" encoding="utf-8"?>
<Properties xmlns="http://schemas.openxmlformats.org/officeDocument/2006/custom-properties" xmlns:vt="http://schemas.openxmlformats.org/officeDocument/2006/docPropsVTypes"/>
</file>