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CDSL – Investor Charter for Depository Participants (Annexure A &amp; B)</w:t>
      </w:r>
    </w:p>
    <w:p>
      <w:pPr>
        <w:pStyle w:val="Heading2"/>
      </w:pPr>
      <w:r>
        <w:t>Basic Services</w:t>
      </w:r>
    </w:p>
    <w:tbl>
      <w:tblPr>
        <w:tblW w:type="auto" w:w="0"/>
        <w:tblLook w:firstColumn="1" w:firstRow="1" w:lastColumn="0" w:lastRow="0" w:noHBand="0" w:noVBand="1" w:val="04A0"/>
      </w:tblPr>
      <w:tblGrid>
        <w:gridCol w:w="2880"/>
        <w:gridCol w:w="2880"/>
        <w:gridCol w:w="2880"/>
      </w:tblGrid>
      <w:tr>
        <w:tc>
          <w:tcPr>
            <w:tcW w:type="dxa" w:w="2880"/>
          </w:tcPr>
          <w:p>
            <w:r>
              <w:t>Sr. No.</w:t>
            </w:r>
          </w:p>
        </w:tc>
        <w:tc>
          <w:tcPr>
            <w:tcW w:type="dxa" w:w="2880"/>
          </w:tcPr>
          <w:p>
            <w:r>
              <w:t>Brief about the Activity / Service</w:t>
            </w:r>
          </w:p>
        </w:tc>
        <w:tc>
          <w:tcPr>
            <w:tcW w:type="dxa" w:w="2880"/>
          </w:tcPr>
          <w:p>
            <w:r>
              <w:t>Expected Timelines for processing by the DP after receipt of proper documents</w:t>
            </w:r>
          </w:p>
        </w:tc>
      </w:tr>
      <w:tr>
        <w:tc>
          <w:tcPr>
            <w:tcW w:type="dxa" w:w="2880"/>
          </w:tcPr>
          <w:p>
            <w:r>
              <w:t>1</w:t>
            </w:r>
          </w:p>
        </w:tc>
        <w:tc>
          <w:tcPr>
            <w:tcW w:type="dxa" w:w="2880"/>
          </w:tcPr>
          <w:p>
            <w:r>
              <w:t>Dematerialization of securities</w:t>
            </w:r>
          </w:p>
        </w:tc>
        <w:tc>
          <w:tcPr>
            <w:tcW w:type="dxa" w:w="2880"/>
          </w:tcPr>
          <w:p>
            <w:r>
              <w:t>7 days</w:t>
            </w:r>
          </w:p>
        </w:tc>
      </w:tr>
      <w:tr>
        <w:tc>
          <w:tcPr>
            <w:tcW w:type="dxa" w:w="2880"/>
          </w:tcPr>
          <w:p>
            <w:r>
              <w:t>2</w:t>
            </w:r>
          </w:p>
        </w:tc>
        <w:tc>
          <w:tcPr>
            <w:tcW w:type="dxa" w:w="2880"/>
          </w:tcPr>
          <w:p>
            <w:r>
              <w:t>Rematerialization of securities</w:t>
            </w:r>
          </w:p>
        </w:tc>
        <w:tc>
          <w:tcPr>
            <w:tcW w:type="dxa" w:w="2880"/>
          </w:tcPr>
          <w:p>
            <w:r>
              <w:t>7 days</w:t>
            </w:r>
          </w:p>
        </w:tc>
      </w:tr>
      <w:tr>
        <w:tc>
          <w:tcPr>
            <w:tcW w:type="dxa" w:w="2880"/>
          </w:tcPr>
          <w:p>
            <w:r>
              <w:t>3</w:t>
            </w:r>
          </w:p>
        </w:tc>
        <w:tc>
          <w:tcPr>
            <w:tcW w:type="dxa" w:w="2880"/>
          </w:tcPr>
          <w:p>
            <w:r>
              <w:t>Mutual Fund Conversion / Destatementization</w:t>
            </w:r>
          </w:p>
        </w:tc>
        <w:tc>
          <w:tcPr>
            <w:tcW w:type="dxa" w:w="2880"/>
          </w:tcPr>
          <w:p>
            <w:r>
              <w:t>5 days</w:t>
            </w:r>
          </w:p>
        </w:tc>
      </w:tr>
      <w:tr>
        <w:tc>
          <w:tcPr>
            <w:tcW w:type="dxa" w:w="2880"/>
          </w:tcPr>
          <w:p>
            <w:r>
              <w:t>4</w:t>
            </w:r>
          </w:p>
        </w:tc>
        <w:tc>
          <w:tcPr>
            <w:tcW w:type="dxa" w:w="2880"/>
          </w:tcPr>
          <w:p>
            <w:r>
              <w:t>Re-conversion / Restatementisation of Mutual fund units</w:t>
            </w:r>
          </w:p>
        </w:tc>
        <w:tc>
          <w:tcPr>
            <w:tcW w:type="dxa" w:w="2880"/>
          </w:tcPr>
          <w:p>
            <w:r>
              <w:t>7 days</w:t>
            </w:r>
          </w:p>
        </w:tc>
      </w:tr>
      <w:tr>
        <w:tc>
          <w:tcPr>
            <w:tcW w:type="dxa" w:w="2880"/>
          </w:tcPr>
          <w:p>
            <w:r>
              <w:t>5</w:t>
            </w:r>
          </w:p>
        </w:tc>
        <w:tc>
          <w:tcPr>
            <w:tcW w:type="dxa" w:w="2880"/>
          </w:tcPr>
          <w:p>
            <w:r>
              <w:t>Transmission of securities</w:t>
            </w:r>
          </w:p>
        </w:tc>
        <w:tc>
          <w:tcPr>
            <w:tcW w:type="dxa" w:w="2880"/>
          </w:tcPr>
          <w:p>
            <w:r>
              <w:t>7 days</w:t>
            </w:r>
          </w:p>
        </w:tc>
      </w:tr>
      <w:tr>
        <w:tc>
          <w:tcPr>
            <w:tcW w:type="dxa" w:w="2880"/>
          </w:tcPr>
          <w:p>
            <w:r>
              <w:t>6</w:t>
            </w:r>
          </w:p>
        </w:tc>
        <w:tc>
          <w:tcPr>
            <w:tcW w:type="dxa" w:w="2880"/>
          </w:tcPr>
          <w:p>
            <w:r>
              <w:t>Registering pledge request</w:t>
            </w:r>
          </w:p>
        </w:tc>
        <w:tc>
          <w:tcPr>
            <w:tcW w:type="dxa" w:w="2880"/>
          </w:tcPr>
          <w:p>
            <w:r>
              <w:t>15 days</w:t>
            </w:r>
          </w:p>
        </w:tc>
      </w:tr>
      <w:tr>
        <w:tc>
          <w:tcPr>
            <w:tcW w:type="dxa" w:w="2880"/>
          </w:tcPr>
          <w:p>
            <w:r>
              <w:t>7</w:t>
            </w:r>
          </w:p>
        </w:tc>
        <w:tc>
          <w:tcPr>
            <w:tcW w:type="dxa" w:w="2880"/>
          </w:tcPr>
          <w:p>
            <w:r>
              <w:t>Closure of demat account</w:t>
            </w:r>
          </w:p>
        </w:tc>
        <w:tc>
          <w:tcPr>
            <w:tcW w:type="dxa" w:w="2880"/>
          </w:tcPr>
          <w:p>
            <w:r>
              <w:t>30 days</w:t>
            </w:r>
          </w:p>
        </w:tc>
      </w:tr>
      <w:tr>
        <w:tc>
          <w:tcPr>
            <w:tcW w:type="dxa" w:w="2880"/>
          </w:tcPr>
          <w:p>
            <w:r>
              <w:t>8</w:t>
            </w:r>
          </w:p>
        </w:tc>
        <w:tc>
          <w:tcPr>
            <w:tcW w:type="dxa" w:w="2880"/>
          </w:tcPr>
          <w:p>
            <w:r>
              <w:t>Settlement Instruction</w:t>
              <w:br/>
              <w:br/>
              <w:t>For T+1 day settlements, Participants shall accept instructions from Clients in physical form up to 4 p.m. (in case of electronic instructions up to 6.00 p.m.) on T day for pay-in of securities.</w:t>
              <w:br/>
              <w:br/>
              <w:t>For T+0 day settlements, Participants shall accept EPI instructions from the clients, till 11:00 AM on T day.</w:t>
            </w:r>
          </w:p>
        </w:tc>
        <w:tc>
          <w:tcPr>
            <w:tcW w:type="dxa" w:w="2880"/>
          </w:tcPr>
          <w:p>
            <w:r/>
          </w:p>
        </w:tc>
      </w:tr>
    </w:tbl>
    <w:p>
      <w:pPr>
        <w:pStyle w:val="Heading2"/>
      </w:pPr>
      <w:r>
        <w:t>Special Services</w:t>
      </w:r>
    </w:p>
    <w:tbl>
      <w:tblPr>
        <w:tblW w:type="auto" w:w="0"/>
        <w:tblLook w:firstColumn="1" w:firstRow="1" w:lastColumn="0" w:lastRow="0" w:noHBand="0" w:noVBand="1" w:val="04A0"/>
      </w:tblPr>
      <w:tblGrid>
        <w:gridCol w:w="2880"/>
        <w:gridCol w:w="2880"/>
        <w:gridCol w:w="2880"/>
      </w:tblGrid>
      <w:tr>
        <w:tc>
          <w:tcPr>
            <w:tcW w:type="dxa" w:w="2880"/>
          </w:tcPr>
          <w:p>
            <w:r>
              <w:t>Sr. No.</w:t>
            </w:r>
          </w:p>
        </w:tc>
        <w:tc>
          <w:tcPr>
            <w:tcW w:type="dxa" w:w="2880"/>
          </w:tcPr>
          <w:p>
            <w:r>
              <w:t>Type of Activity / Service</w:t>
            </w:r>
          </w:p>
        </w:tc>
        <w:tc>
          <w:tcPr>
            <w:tcW w:type="dxa" w:w="2880"/>
          </w:tcPr>
          <w:p>
            <w:r>
              <w:t>Brief about the Activity / Service</w:t>
            </w:r>
          </w:p>
        </w:tc>
      </w:tr>
      <w:tr>
        <w:tc>
          <w:tcPr>
            <w:tcW w:type="dxa" w:w="2880"/>
          </w:tcPr>
          <w:p>
            <w:r>
              <w:t>1</w:t>
            </w:r>
          </w:p>
        </w:tc>
        <w:tc>
          <w:tcPr>
            <w:tcW w:type="dxa" w:w="2880"/>
          </w:tcPr>
          <w:p>
            <w:r>
              <w:t>Value Added Services</w:t>
            </w:r>
          </w:p>
        </w:tc>
        <w:tc>
          <w:tcPr>
            <w:tcW w:type="dxa" w:w="2880"/>
          </w:tcPr>
          <w:p>
            <w:r>
              <w:t>Depositories also provide value added services such as:</w:t>
              <w:br/>
              <w:br/>
              <w:t>a. Basic Services Demat Account (BSDA)</w:t>
              <w:br/>
              <w:t>b. Transposition cum dematerialization</w:t>
              <w:br/>
              <w:t>c. Linkages with Clearing System</w:t>
              <w:br/>
              <w:t>d. Distribution of corporate benefits (Bonus, Rights, IPOs etc.), stock lending, demat of NSC / KVP, warehouse receipts etc.</w:t>
            </w:r>
          </w:p>
        </w:tc>
      </w:tr>
      <w:tr>
        <w:tc>
          <w:tcPr>
            <w:tcW w:type="dxa" w:w="2880"/>
          </w:tcPr>
          <w:p>
            <w:r>
              <w:t>2</w:t>
            </w:r>
          </w:p>
        </w:tc>
        <w:tc>
          <w:tcPr>
            <w:tcW w:type="dxa" w:w="2880"/>
          </w:tcPr>
          <w:p>
            <w:r>
              <w:t>Consolidated Account statement (CAS)</w:t>
            </w:r>
          </w:p>
        </w:tc>
        <w:tc>
          <w:tcPr>
            <w:tcW w:type="dxa" w:w="2880"/>
          </w:tcPr>
          <w:p>
            <w:r>
              <w:t>CAS is issued 10 days from the end of the month (if there were transactions in the previous month) or half yearly (if no transactions).</w:t>
            </w:r>
          </w:p>
        </w:tc>
      </w:tr>
      <w:tr>
        <w:tc>
          <w:tcPr>
            <w:tcW w:type="dxa" w:w="2880"/>
          </w:tcPr>
          <w:p>
            <w:r>
              <w:t>3</w:t>
            </w:r>
          </w:p>
        </w:tc>
        <w:tc>
          <w:tcPr>
            <w:tcW w:type="dxa" w:w="2880"/>
          </w:tcPr>
          <w:p>
            <w:r>
              <w:t>Digitalization of services</w:t>
            </w:r>
          </w:p>
        </w:tc>
        <w:tc>
          <w:tcPr>
            <w:tcW w:type="dxa" w:w="2880"/>
          </w:tcPr>
          <w:p>
            <w:r>
              <w:t>Depositories offer technology solutions and e-facilities:</w:t>
              <w:br/>
              <w:br/>
              <w:t>a. E-account opening</w:t>
              <w:br/>
              <w:t>b. Online instructions for execution</w:t>
              <w:br/>
              <w:t>c. e-DIS / Demat Gateway</w:t>
              <w:br/>
              <w:t>d. e-CAS facility</w:t>
              <w:br/>
              <w:t>e. Miscellaneous services</w:t>
            </w:r>
          </w:p>
        </w:tc>
      </w:tr>
    </w:tbl>
    <w:p>
      <w:pPr>
        <w:pStyle w:val="Heading2"/>
      </w:pPr>
      <w:r>
        <w:t>Special Circumstances: Termination of the DP</w:t>
      </w:r>
    </w:p>
    <w:tbl>
      <w:tblPr>
        <w:tblW w:type="auto" w:w="0"/>
        <w:tblLook w:firstColumn="1" w:firstRow="1" w:lastColumn="0" w:lastRow="0" w:noHBand="0" w:noVBand="1" w:val="04A0"/>
      </w:tblPr>
      <w:tblGrid>
        <w:gridCol w:w="4320"/>
        <w:gridCol w:w="4320"/>
      </w:tblGrid>
      <w:tr>
        <w:tc>
          <w:tcPr>
            <w:tcW w:type="dxa" w:w="4320"/>
          </w:tcPr>
          <w:p>
            <w:r>
              <w:t>Type of Special Circumstances</w:t>
            </w:r>
          </w:p>
        </w:tc>
        <w:tc>
          <w:tcPr>
            <w:tcW w:type="dxa" w:w="4320"/>
          </w:tcPr>
          <w:p>
            <w:r>
              <w:t>Timelines for the Activity / Service</w:t>
            </w:r>
          </w:p>
        </w:tc>
      </w:tr>
      <w:tr>
        <w:tc>
          <w:tcPr>
            <w:tcW w:type="dxa" w:w="4320"/>
          </w:tcPr>
          <w:p>
            <w:r>
              <w:t>Depositories to terminate the participation in case a participant no longer meets the eligibility criteria / bye-laws (e.g. suspension by Stock Exchanges).</w:t>
            </w:r>
          </w:p>
        </w:tc>
        <w:tc>
          <w:tcPr>
            <w:tcW w:type="dxa" w:w="4320"/>
          </w:tcPr>
          <w:p>
            <w:r>
              <w:t>Client will have a right to transfer all its securities to any other Participant of its choice without any charges for the transfer within 30 days from the date of intimation by way of letter/email.</w:t>
            </w:r>
          </w:p>
        </w:tc>
      </w:tr>
      <w:tr>
        <w:tc>
          <w:tcPr>
            <w:tcW w:type="dxa" w:w="4320"/>
          </w:tcPr>
          <w:p>
            <w:r>
              <w:t>Participant surrenders the participation by its own wish.</w:t>
            </w:r>
          </w:p>
        </w:tc>
        <w:tc>
          <w:tcPr>
            <w:tcW w:type="dxa" w:w="432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