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Creator Token Operations Playbook</w:t>
      </w:r>
    </w:p>
    <w:p>
      <w:pPr>
        <w:pStyle w:val="Subtitle"/>
      </w:pPr>
      <w:r>
        <w:t>A selective launch studio and a separate test of creator fee income</w:t>
      </w:r>
    </w:p>
    <w:p>
      <w:r>
        <w:t>Prepared for Logan M  •  Research and proposed design by ChatGPT  •  Version 1.0</w:t>
      </w:r>
    </w:p>
    <w:p>
      <w:pPr>
        <w:pStyle w:val="Heading2"/>
      </w:pPr>
      <w:r>
        <w:t>1  Decision and scope</w:t>
      </w:r>
    </w:p>
    <w:p>
      <w:r>
        <w:t>Build a small studio that prepares, launches and maintains tokens for consenting creators with existing communities. Sell a defined operating service, then test disclosed participation in creator fees as a separate revenue stream. Start on Base with one platform and one approved launch. GrokBot performs research, preparation, reporting and routine monitoring; deterministic software controls records and transaction requests. Logan retains approval of spending, publication and irreversible actions.</w:t>
      </w:r>
    </w:p>
    <w:p>
      <w:r>
        <w:t>This is my recommended adaptation of the linked strategy. It keeps the opportunity to earn from trading activity while addressing the missing business input: a reason for people to care about the token. Rapidly manufacturing anonymous coins is easy to automate and difficult to underwrite. An audience partnership is slower to secure, but gives the experiment a distribution channel and an accountable counterparty.</w:t>
      </w:r>
    </w:p>
    <w:p>
      <w:pPr>
        <w:pStyle w:val="Heading2"/>
      </w:pPr>
      <w:r>
        <w:t>What the original claim establishes</w:t>
      </w:r>
    </w:p>
    <w:p>
      <w:r>
        <w:t>The September 16 post claims that an $83 ETH seed produced 2.44 ETH, valued at $5,920, through a 0.5% fee on newly launched memecoins. I recovered its text and inspected the attached video. No attributable wallet, token contracts or claim receipts were provided in the material inspected. Its quoted post concerns a different strategy that trades newly launched tokens; those trading results cannot validate creator fees. [1]</w:t>
      </w:r>
    </w:p>
    <w:p>
      <w:r>
        <w:t>At approximately 24 seconds, the video shows $416,159 in volume. At 0.5%, that supports $2,080.80 of gross fees, or about 0.871 ETH at the displayed $2,389 ETH price. The same frame shows about 2.43 ETH / $5,803 in profit. The six displayed token fee totals sum to about 0.870 ETH. These figures do not reconcile under the displayed scope. Different time windows or omitted revenue could explain the gap; evidence of either is missing.</w:t>
      </w:r>
    </w:p>
    <w:p>
      <w:pPr>
        <w:pStyle w:val="Heading2"/>
      </w:pPr>
      <w:r>
        <w:t>Evidence standard</w:t>
      </w:r>
    </w:p>
    <w:p>
      <w:r>
        <w:t>The platform mechanism is documented; the advertised return is unverified. This playbook contains no proven earnings forecast. Platform facts carry numbered sources. Budgets, prices, staffing and gates are proposed assumptions. Actual studio revenue, fee receipts, conversion and workload remain unmeasured. This document authorizes research and design only; no wallet, account, token or campaign was created.</w:t>
      </w:r>
    </w:p>
    <w:p>
      <w:r>
        <w:br w:type="page"/>
      </w:r>
    </w:p>
    <w:p>
      <w:pPr>
        <w:pStyle w:val="Heading1"/>
      </w:pPr>
      <w:r>
        <w:t>2  The mechanism and platform choice</w:t>
      </w:r>
    </w:p>
    <w:p>
      <w:r>
        <w:t>Creator fees attach to specified pools and beneficiary rights. They do not follow the operator into whichever unrelated token has volume. The practical loop is to create or service an authorized token, acquire the agreed fee entitlement, support its community and reconcile actual fee receipts. Buying someone else’s fee rights is a separate capital investment and is outside this pilot.</w:t>
      </w:r>
    </w:p>
    <w:tbl>
      <w:tblPr>
        <w:tblW w:type="auto" w:w="0"/>
        <w:jc w:val="center"/>
        <w:tblLayout w:type="fixed"/>
        <w:tblLook w:firstColumn="1" w:firstRow="1" w:lastColumn="0" w:lastRow="0" w:noHBand="0" w:noVBand="1" w:val="04A0"/>
      </w:tblPr>
      <w:tblGrid>
        <w:gridCol w:w="1699"/>
        <w:gridCol w:w="5011"/>
        <w:gridCol w:w="3427"/>
      </w:tblGrid>
      <w:tr>
        <w:trPr>
          <w:cantSplit/>
          <w:tblHeader/>
        </w:trPr>
        <w:tc>
          <w:tcPr>
            <w:tcW w:type="dxa" w:w="1699"/>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Route</w:t>
            </w:r>
          </w:p>
        </w:tc>
        <w:tc>
          <w:tcPr>
            <w:tcW w:type="dxa" w:w="5011"/>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Documented mechanism</w:t>
            </w:r>
          </w:p>
        </w:tc>
        <w:tc>
          <w:tcPr>
            <w:tcW w:type="dxa" w:w="3427"/>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Decision</w:t>
            </w:r>
          </w:p>
        </w:tc>
      </w:tr>
      <w:tr>
        <w:trPr>
          <w:cantSplit/>
        </w:trPr>
        <w:tc>
          <w:tcPr>
            <w:tcW w:type="dxa" w:w="1699"/>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Bankr on Base</w:t>
            </w:r>
          </w:p>
        </w:tc>
        <w:tc>
          <w:tcPr>
            <w:tcW w:type="dxa" w:w="5011"/>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Documents direct creator fees, configurable vesting and quote-only collection.</w:t>
            </w:r>
          </w:p>
        </w:tc>
        <w:tc>
          <w:tcPr>
            <w:tcW w:type="dxa" w:w="3427"/>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First integration; explicit settings and simulation required.</w:t>
            </w:r>
          </w:p>
        </w:tc>
      </w:tr>
      <w:tr>
        <w:trPr>
          <w:cantSplit/>
        </w:trPr>
        <w:tc>
          <w:tcPr>
            <w:tcW w:type="dxa" w:w="1699"/>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Clanker SDK</w:t>
            </w:r>
          </w:p>
        </w:tc>
        <w:tc>
          <w:tcPr>
            <w:tcW w:type="dxa" w:w="5011"/>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Initial pool accrues creator rewards; other pools do not automatically pay the creator.</w:t>
            </w:r>
          </w:p>
        </w:tc>
        <w:tc>
          <w:tcPr>
            <w:tcW w:type="dxa" w:w="3427"/>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Alternative if native multiple recipients are essential.</w:t>
            </w:r>
          </w:p>
        </w:tc>
      </w:tr>
      <w:tr>
        <w:trPr>
          <w:cantSplit/>
        </w:trPr>
        <w:tc>
          <w:tcPr>
            <w:tcW w:type="dxa" w:w="1699"/>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Pump.fun</w:t>
            </w:r>
          </w:p>
        </w:tc>
        <w:tc>
          <w:tcPr>
            <w:tcW w:type="dxa" w:w="5011"/>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Bonding-curve creator fee is documented at 0.3%; graduated schedules vary. [16]</w:t>
            </w:r>
          </w:p>
        </w:tc>
        <w:tc>
          <w:tcPr>
            <w:tcW w:type="dxa" w:w="3427"/>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Defer a second chain and a different fee regime.</w:t>
            </w:r>
          </w:p>
        </w:tc>
      </w:tr>
    </w:tbl>
    <w:p/>
    <w:p>
      <w:r>
        <w:t>Bankr currently documents 0.665% of eligible volume paid directly to the creator, with a separate 0.285% compounded into locked liquidity and 1.75% total swap fees. Locked liquidity is not spendable studio income. Its launch defaults include 15% creator vesting; disable this. Select quote-only fees, WETH pairing, Base explicitly, no developer buy and no degen mode. Recheck provider and contract configuration before signing; earlier launches retain different schedules. [2]</w:t>
      </w:r>
    </w:p>
    <w:p>
      <w:r>
        <w:t>Bankr also documents retail wallet-age and minimum-balance checks and a three-attempt rolling daily launch cap. Our one-launch pilot fits well below that limit. Do not use account rotation to evade quotas. Eligibility, sponsorship and gas must be verified for the actual account. [2]</w:t>
      </w:r>
    </w:p>
    <w:p>
      <w:pPr>
        <w:pStyle w:val="Heading2"/>
      </w:pPr>
      <w:r>
        <w:t>Rights and settlement</w:t>
      </w:r>
    </w:p>
    <w:p>
      <w:r>
        <w:t>For the first client, designate the client-controlled address as fee beneficiary. Invoice the agreed studio share monthly from reconciled receipts; do not assume Bankr’s fee redirect is a native multi-party splitter. Its documented redirect transfers the entire beneficiary allocation. This introduces collection risk: unpaid fees are receivables, not revenue received. [3]</w:t>
      </w:r>
    </w:p>
    <w:p>
      <w:r>
        <w:t>Clanker’s pinned V4 example supports multiple reward recipients, while its README includes older configuration shapes. If native splits become necessary, test the current V4 interface in a fork and audit the exact allocations before changing adapters. Public source is useful implementation material, not a security clearance. [4,5]</w:t>
      </w:r>
    </w:p>
    <w:p>
      <w:pPr>
        <w:pStyle w:val="Heading2"/>
      </w:pPr>
      <w:r>
        <w:t>Important accounting distinction</w:t>
      </w:r>
    </w:p>
    <w:p>
      <w:r>
        <w:t>A quote-only fee configuration avoids receiving the launched token as our fee asset, but WETH still has market risk. Recognize native units and USD value at receipt; track subsequent treasury gains separately. Stopping work on a token means ending new discretionary spending under the service agreement. It does not mean draining liquidity, destroying holders’ tokens or erasing public records.</w:t>
      </w:r>
    </w:p>
    <w:p>
      <w:r>
        <w:br w:type="page"/>
      </w:r>
    </w:p>
    <w:p>
      <w:pPr>
        <w:pStyle w:val="Heading1"/>
      </w:pPr>
      <w:r>
        <w:t>3  The business and first customer</w:t>
      </w:r>
    </w:p>
    <w:p>
      <w:r>
        <w:t>The first customer is an independent, crypto-native artist or community operator who already wants a token and owns the relevant brand or artwork. They can demonstrate ongoing audience participation and accept plain disclosures about fees, token risks and our role. Follower count alone is insufficient. We decline clients asking for price support, artificial activity, impersonation or guaranteed exchange listings.</w:t>
      </w:r>
    </w:p>
    <w:p>
      <w:pPr>
        <w:pStyle w:val="Heading2"/>
      </w:pPr>
      <w:r>
        <w:t>Offer to test</w:t>
      </w:r>
    </w:p>
    <w:p>
      <w:r>
        <w:t>Proposed pilot offer: $500 for launch readiness and implementation, $150 for the first 30 days of defined operating support, and 25% of creator fees actually received during that service period. All prices and willingness to pay are hypotheses. Scope the fixed fee into milestones: $150 readiness review, credited against the $500 total, then $350 only after launch approval. Define earned work and refunds in the agreement. A decision not to launch is a legitimate readiness outcome.</w:t>
      </w:r>
    </w:p>
    <w:p>
      <w:r>
        <w:t>Deliver an approved configuration, project page, disclosure and address register, signed launch manifest, transaction record, fee dashboard, weekly report and incident contact. Include a limited content package and scheduled account review. Exclude custody of customer trading funds, trading advice, guaranteed volume, paid market making and unlimited community moderation. Agree the response window and the transition to client self-service before launch.</w:t>
      </w:r>
    </w:p>
    <w:tbl>
      <w:tblPr>
        <w:tblW w:type="auto" w:w="0"/>
        <w:jc w:val="center"/>
        <w:tblLayout w:type="fixed"/>
        <w:tblLook w:firstColumn="1" w:firstRow="1" w:lastColumn="0" w:lastRow="0" w:noHBand="0" w:noVBand="1" w:val="04A0"/>
      </w:tblPr>
      <w:tblGrid>
        <w:gridCol w:w="2275"/>
        <w:gridCol w:w="3658"/>
        <w:gridCol w:w="4205"/>
      </w:tblGrid>
      <w:tr>
        <w:trPr>
          <w:cantSplit/>
          <w:tblHeader/>
        </w:trPr>
        <w:tc>
          <w:tcPr>
            <w:tcW w:type="dxa" w:w="2275"/>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Model</w:t>
            </w:r>
          </w:p>
        </w:tc>
        <w:tc>
          <w:tcPr>
            <w:tcW w:type="dxa" w:w="3658"/>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Main advantage</w:t>
            </w:r>
          </w:p>
        </w:tc>
        <w:tc>
          <w:tcPr>
            <w:tcW w:type="dxa" w:w="4205"/>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Main weakness</w:t>
            </w:r>
          </w:p>
        </w:tc>
      </w:tr>
      <w:tr>
        <w:trPr>
          <w:cantSplit/>
        </w:trPr>
        <w:tc>
          <w:tcPr>
            <w:tcW w:type="dxa" w:w="2275"/>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Anonymous rapid launches</w:t>
            </w:r>
          </w:p>
        </w:tc>
        <w:tc>
          <w:tcPr>
            <w:tcW w:type="dxa" w:w="365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Low technical cost per attempt</w:t>
            </w:r>
          </w:p>
        </w:tc>
        <w:tc>
          <w:tcPr>
            <w:tcW w:type="dxa" w:w="4205"/>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Unknown distribution; short-lived fees; repeated reputational exposure</w:t>
            </w:r>
          </w:p>
        </w:tc>
      </w:tr>
      <w:tr>
        <w:trPr>
          <w:cantSplit/>
        </w:trPr>
        <w:tc>
          <w:tcPr>
            <w:tcW w:type="dxa" w:w="2275"/>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One owned community token</w:t>
            </w:r>
          </w:p>
        </w:tc>
        <w:tc>
          <w:tcPr>
            <w:tcW w:type="dxa" w:w="365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Retains creator share</w:t>
            </w:r>
          </w:p>
        </w:tc>
        <w:tc>
          <w:tcPr>
            <w:tcW w:type="dxa" w:w="4205"/>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Requires building an audience before the fee thesis can be tested</w:t>
            </w:r>
          </w:p>
        </w:tc>
      </w:tr>
      <w:tr>
        <w:trPr>
          <w:cantSplit/>
        </w:trPr>
        <w:tc>
          <w:tcPr>
            <w:tcW w:type="dxa" w:w="2275"/>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Creator operations studio</w:t>
            </w:r>
          </w:p>
        </w:tc>
        <w:tc>
          <w:tcPr>
            <w:tcW w:type="dxa" w:w="365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Existing audience plus paid service demand</w:t>
            </w:r>
          </w:p>
        </w:tc>
        <w:tc>
          <w:tcPr>
            <w:tcW w:type="dxa" w:w="4205"/>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Client acquisition, collections and approval workload</w:t>
            </w:r>
          </w:p>
        </w:tc>
      </w:tr>
    </w:tbl>
    <w:p/>
    <w:p>
      <w:r>
        <w:t>Select the studio for the first business experiment. This is a strategic judgment, not a measured superiority claim. Fixed fees pay for delivered work; variable fees test the original income mechanism. If only fixed fees work, record SERVICE_VALIDATED and CREATOR_FEES_UNPROVEN. Do not market that outcome as a successful autonomous fee farm.</w:t>
      </w:r>
    </w:p>
    <w:p>
      <w:pPr>
        <w:pStyle w:val="Heading2"/>
      </w:pPr>
      <w:r>
        <w:t>Acquisition procedure</w:t>
      </w:r>
    </w:p>
    <w:p>
      <w:r>
        <w:t>Scout compiles 20 potential clients from permitted public sources, with ownership evidence, recent community activity and a specific operational problem. Logan approves a small set of individual outreach drafts before any contact. Seek three discovery conversations and one paid readiness engagement. Use a sample report based on public data with its limitations visible. Never invent a customer case study.</w:t>
      </w:r>
    </w:p>
    <w:p>
      <w:r>
        <w:t>The pitch is operational: “We handle launch preparation, public records and fee reporting so you can run your community. We disclose our compensation and make no promise about trading or price.” Ask why the client wants a token instead of membership, merchandise or ordinary payments. If a token adds no coherent purpose, propose the simpler product and close the token opportunity.</w:t>
      </w:r>
    </w:p>
    <w:p>
      <w:r>
        <w:br w:type="page"/>
      </w:r>
    </w:p>
    <w:p>
      <w:pPr>
        <w:pStyle w:val="Heading1"/>
      </w:pPr>
      <w:r>
        <w:t>4  Economics and capital discipline</w:t>
      </w:r>
    </w:p>
    <w:p>
      <w:r>
        <w:t>Use two ledgers: commercial services and creator-fee participation. Eligible pool volume is an explanatory variable, not cash. Revenue recognition must distinguish fees accrued, claimable, claimed, received by the studio and converted to dollars. Exclude wallet deposits, grants, token inventory appreciation and another party’s liquidity from operating income.</w:t>
      </w:r>
    </w:p>
    <w:p>
      <w:pPr>
        <w:pStyle w:val="Heading2"/>
      </w:pPr>
      <w:r>
        <w:t>Illustrative fee economics</w:t>
      </w:r>
    </w:p>
    <w:p>
      <w:r>
        <w:t>Let V be eligible dollar volume, r the verified direct creator rate and s our contractual share. Expected studio fee entitlement = V × r × s. With r = 0.00665 and s = 0.25, the effective rate is 0.16625%. These examples assume full payment and no other deductions; they are calculations, not volume forecasts. [2,3]</w:t>
      </w:r>
    </w:p>
    <w:tbl>
      <w:tblPr>
        <w:tblW w:type="auto" w:w="0"/>
        <w:jc w:val="center"/>
        <w:tblLayout w:type="fixed"/>
        <w:tblLook w:firstColumn="1" w:firstRow="1" w:lastColumn="0" w:lastRow="0" w:noHBand="0" w:noVBand="1" w:val="04A0"/>
      </w:tblPr>
      <w:tblGrid>
        <w:gridCol w:w="3384"/>
        <w:gridCol w:w="3384"/>
        <w:gridCol w:w="3370"/>
      </w:tblGrid>
      <w:tr>
        <w:trPr>
          <w:cantSplit/>
          <w:tblHeader/>
        </w:trPr>
        <w:tc>
          <w:tcPr>
            <w:tcW w:type="dxa" w:w="3384"/>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Eligible volume</w:t>
            </w:r>
          </w:p>
        </w:tc>
        <w:tc>
          <w:tcPr>
            <w:tcW w:type="dxa" w:w="3384"/>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Creator fees</w:t>
            </w:r>
          </w:p>
        </w:tc>
        <w:tc>
          <w:tcPr>
            <w:tcW w:type="dxa" w:w="3370"/>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Studio share at 25%</w:t>
            </w:r>
          </w:p>
        </w:tc>
      </w:tr>
      <w:tr>
        <w:trPr>
          <w:cantSplit/>
        </w:trPr>
        <w:tc>
          <w:tcPr>
            <w:tcW w:type="dxa" w:w="338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$10,000</w:t>
            </w:r>
          </w:p>
        </w:tc>
        <w:tc>
          <w:tcPr>
            <w:tcW w:type="dxa" w:w="338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$66.50</w:t>
            </w:r>
          </w:p>
        </w:tc>
        <w:tc>
          <w:tcPr>
            <w:tcW w:type="dxa" w:w="337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$16.63</w:t>
            </w:r>
          </w:p>
        </w:tc>
      </w:tr>
      <w:tr>
        <w:trPr>
          <w:cantSplit/>
        </w:trPr>
        <w:tc>
          <w:tcPr>
            <w:tcW w:type="dxa" w:w="338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$100,000</w:t>
            </w:r>
          </w:p>
        </w:tc>
        <w:tc>
          <w:tcPr>
            <w:tcW w:type="dxa" w:w="338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$665.00</w:t>
            </w:r>
          </w:p>
        </w:tc>
        <w:tc>
          <w:tcPr>
            <w:tcW w:type="dxa" w:w="337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$166.25</w:t>
            </w:r>
          </w:p>
        </w:tc>
      </w:tr>
      <w:tr>
        <w:trPr>
          <w:cantSplit/>
        </w:trPr>
        <w:tc>
          <w:tcPr>
            <w:tcW w:type="dxa" w:w="338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$1,000,000</w:t>
            </w:r>
          </w:p>
        </w:tc>
        <w:tc>
          <w:tcPr>
            <w:tcW w:type="dxa" w:w="3384"/>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$6,650.00</w:t>
            </w:r>
          </w:p>
        </w:tc>
        <w:tc>
          <w:tcPr>
            <w:tcW w:type="dxa" w:w="337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$1,662.50</w:t>
            </w:r>
          </w:p>
        </w:tc>
      </w:tr>
    </w:tbl>
    <w:p/>
    <w:p>
      <w:r>
        <w:t>At an assumed $250 monthly cost per client, fee income alone requires about $150,376 eligible volume. A $150 recurring service fee reduces that illustrative gap to about $60,150. To cover $250 of costs and earn $1,000 from fees alone requires about $751,880 volume. The cost assumption includes $100 tools/support, two human hours at $50 and $50 allocated overhead. Replace every input with observed invoices and time records.</w:t>
      </w:r>
    </w:p>
    <w:p>
      <w:r>
        <w:t>Do not amortize a launch setup fee forever or omit the cost of failed prospects. First-month margin includes actual acquisition and implementation time. At portfolio level, include every rejected, failed and inactive engagement. Report medians, the largest client’s contribution and revenue excluding the largest winner. A single viral launch does not establish a dependable business.</w:t>
      </w:r>
    </w:p>
    <w:p>
      <w:pPr>
        <w:pStyle w:val="Heading2"/>
      </w:pPr>
      <w:r>
        <w:t>Proposed research budget</w:t>
      </w:r>
    </w:p>
    <w:p>
      <w:r>
        <w:t>A $500 discovery ceiling can fund a modest technical test: up to $150 data/API access, $100 incremental compute, $50 hosting, $50 simulated-work and later approved network costs, and $150 reserve. These are allocations, not price quotes or spending permission. No paid promotion or speculative inventory is included. Do not buy tools before free access and existing subscriptions are assessed.</w:t>
      </w:r>
    </w:p>
    <w:p>
      <w:r>
        <w:t>Legal review, entity setup, taxes and independent security review are not honestly covered by that budget. Obtain quotes and a separate approval before public launch; if the budget cannot support the required review, remain in research. Record existing subscriptions as allocated economic costs even if they cause no new cash expense. Customer deposits are not unrestricted trading capital.</w:t>
      </w:r>
    </w:p>
    <w:p>
      <w:pPr>
        <w:pStyle w:val="Heading2"/>
      </w:pPr>
      <w:r>
        <w:t>Cash rule</w:t>
      </w:r>
    </w:p>
    <w:p>
      <w:r>
        <w:t>Every new commitment needs Logan’s approval. Claims use a proposed rule that expected proceeds exceed five times estimated gas, subject to a maximum waiting period and review. Retain tax records and reserves. Reinvestment uses a new approved budget; neither a dashboard gain nor an unclaimed reward increases autonomous spending authority.</w:t>
      </w:r>
    </w:p>
    <w:p>
      <w:r>
        <w:br w:type="page"/>
      </w:r>
    </w:p>
    <w:p>
      <w:pPr>
        <w:pStyle w:val="Heading1"/>
      </w:pPr>
      <w:r>
        <w:t>5  The GrokBot fleet</w:t>
      </w:r>
    </w:p>
    <w:p>
      <w:r>
        <w:t>Create a separate project, CREATOR-OPS, with its own commission and a creator-fees domain pack. Reuse Gauntlet’s evidence labels and authority separation. Do not inherit crypto prediction-market thresholds or modify its active experiments. Bots are task owners; ordinary jobs perform polling, arithmetic, retries and storage.</w:t>
      </w:r>
    </w:p>
    <w:tbl>
      <w:tblPr>
        <w:tblW w:type="auto" w:w="0"/>
        <w:jc w:val="center"/>
        <w:tblLayout w:type="fixed"/>
        <w:tblLook w:firstColumn="1" w:firstRow="1" w:lastColumn="0" w:lastRow="0" w:noHBand="0" w:noVBand="1" w:val="04A0"/>
      </w:tblPr>
      <w:tblGrid>
        <w:gridCol w:w="1670"/>
        <w:gridCol w:w="4579"/>
        <w:gridCol w:w="3888"/>
      </w:tblGrid>
      <w:tr>
        <w:trPr>
          <w:cantSplit/>
          <w:tblHeader/>
        </w:trPr>
        <w:tc>
          <w:tcPr>
            <w:tcW w:type="dxa" w:w="1670"/>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Role</w:t>
            </w:r>
          </w:p>
        </w:tc>
        <w:tc>
          <w:tcPr>
            <w:tcW w:type="dxa" w:w="4579"/>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Required output</w:t>
            </w:r>
          </w:p>
        </w:tc>
        <w:tc>
          <w:tcPr>
            <w:tcW w:type="dxa" w:w="3888"/>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Authority limit</w:t>
            </w:r>
          </w:p>
        </w:tc>
      </w:tr>
      <w:tr>
        <w:trPr>
          <w:cantSplit/>
        </w:trPr>
        <w:tc>
          <w:tcPr>
            <w:tcW w:type="dxa" w:w="167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Conductor</w:t>
            </w:r>
          </w:p>
        </w:tc>
        <w:tc>
          <w:tcPr>
            <w:tcW w:type="dxa" w:w="4579"/>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Prioritized work queue and daily decision brief</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Cannot approve launch or certify success</w:t>
            </w:r>
          </w:p>
        </w:tc>
      </w:tr>
      <w:tr>
        <w:trPr>
          <w:cantSplit/>
        </w:trPr>
        <w:tc>
          <w:tcPr>
            <w:tcW w:type="dxa" w:w="167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Scout and Producer</w:t>
            </w:r>
          </w:p>
        </w:tc>
        <w:tc>
          <w:tcPr>
            <w:tcW w:type="dxa" w:w="4579"/>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Client evidence, original creative and campaign drafts</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No outbound messages or publication without approval</w:t>
            </w:r>
          </w:p>
        </w:tc>
      </w:tr>
      <w:tr>
        <w:trPr>
          <w:cantSplit/>
        </w:trPr>
        <w:tc>
          <w:tcPr>
            <w:tcW w:type="dxa" w:w="167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Clock</w:t>
            </w:r>
          </w:p>
        </w:tc>
        <w:tc>
          <w:tcPr>
            <w:tcW w:type="dxa" w:w="4579"/>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Verified identities, contracts, fee assets and timestamped records</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Read-only platform and chain access</w:t>
            </w:r>
          </w:p>
        </w:tc>
      </w:tr>
      <w:tr>
        <w:trPr>
          <w:cantSplit/>
        </w:trPr>
        <w:tc>
          <w:tcPr>
            <w:tcW w:type="dxa" w:w="167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Mechanic</w:t>
            </w:r>
          </w:p>
        </w:tc>
        <w:tc>
          <w:tcPr>
            <w:tcW w:type="dxa" w:w="4579"/>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Adapter, manifest builder, dashboard and tested jobs</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Prepares unsigned actions; no shared signing key</w:t>
            </w:r>
          </w:p>
        </w:tc>
      </w:tr>
      <w:tr>
        <w:trPr>
          <w:cantSplit/>
        </w:trPr>
        <w:tc>
          <w:tcPr>
            <w:tcW w:type="dxa" w:w="167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Examiner</w:t>
            </w:r>
          </w:p>
        </w:tc>
        <w:tc>
          <w:tcPr>
            <w:tcW w:type="dxa" w:w="4579"/>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Independent reconciliation and experiment results</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Cannot alter primary evidence or approve its own code changes</w:t>
            </w:r>
          </w:p>
        </w:tc>
      </w:tr>
      <w:tr>
        <w:trPr>
          <w:cantSplit/>
        </w:trPr>
        <w:tc>
          <w:tcPr>
            <w:tcW w:type="dxa" w:w="167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Treasurer</w:t>
            </w:r>
          </w:p>
        </w:tc>
        <w:tc>
          <w:tcPr>
            <w:tcW w:type="dxa" w:w="4579"/>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Cost ledger, proposed claims and budget requests</w:t>
            </w:r>
          </w:p>
        </w:tc>
        <w:tc>
          <w:tcPr>
            <w:tcW w:type="dxa" w:w="388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No spending or beneficiary changes on its own</w:t>
            </w:r>
          </w:p>
        </w:tc>
      </w:tr>
      <w:tr>
        <w:trPr>
          <w:cantSplit/>
        </w:trPr>
        <w:tc>
          <w:tcPr>
            <w:tcW w:type="dxa" w:w="167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Steward</w:t>
            </w:r>
          </w:p>
        </w:tc>
        <w:tc>
          <w:tcPr>
            <w:tcW w:type="dxa" w:w="4579"/>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Support queue, scheduled reports and retirement handoff</w:t>
            </w:r>
          </w:p>
        </w:tc>
        <w:tc>
          <w:tcPr>
            <w:tcW w:type="dxa" w:w="3888"/>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Cannot promise returns or direct customer trades</w:t>
            </w:r>
          </w:p>
        </w:tc>
      </w:tr>
    </w:tbl>
    <w:p/>
    <w:p>
      <w:r>
        <w:t>Activate Prosecutor for admission, prelaunch review and incidents; Archivist maintains the registry and generated current state. These are shared oversight assignments rather than more continuously running chats. Keep Mechanic’s implementation separate from Examiner’s acceptance. An independent reviewer checks the fee parser against receipts before results can promote a launch.</w:t>
      </w:r>
    </w:p>
    <w:p>
      <w:pPr>
        <w:pStyle w:val="Heading2"/>
      </w:pPr>
      <w:r>
        <w:t>GrokBot deployment constraint</w:t>
      </w:r>
    </w:p>
    <w:p>
      <w:r>
        <w:t>Official documentation says Bots on one account share files, sessions and app logins. Separate names or group chats are not wallet isolation. Keep all private keys and write-capable wallet sessions outside that shared computer. Use GrokBot as the coordination surface with read-only credentials and an external approval-and-signing service controlled by Logan. [6]</w:t>
      </w:r>
    </w:p>
    <w:p>
      <w:r>
        <w:t>Skills encode bounded procedures; routines wake the appropriate role. Start with prepare_launch_manifest, reconcile_fees, draft_creator_report and review_exceptions. Run each manually against known fixtures before scheduling. Routine success means its output passed validation, not simply that a chat turn finished. Product documentation describes skills and routines; this exact integration has not been deployed here. [7]</w:t>
      </w:r>
    </w:p>
    <w:p>
      <w:pPr>
        <w:pStyle w:val="Heading2"/>
      </w:pPr>
      <w:r>
        <w:t>Human workload target</w:t>
      </w:r>
    </w:p>
    <w:p>
      <w:r>
        <w:t>Initial limit: two concurrent client projects and one live launch. Record setup hours, human minutes per client-week, interventions per job and incident recovery time. Proposed mature target: under 30 human minutes per client-week plus two fixed hours per week, with service quality intact. The 90–95% aspiration remains a target; agent compute time cannot dilute the human-hours denominator.</w:t>
      </w:r>
    </w:p>
    <w:p>
      <w:r>
        <w:br w:type="page"/>
      </w:r>
    </w:p>
    <w:p>
      <w:pPr>
        <w:pStyle w:val="Heading1"/>
      </w:pPr>
      <w:r>
        <w:t>6  Runtime and data design</w:t>
      </w:r>
    </w:p>
    <w:p>
      <w:r>
        <w:t>Use a small TypeScript service for typed chain adapters and a relational event ledger. SQLite is adequate for a single worker pilot with backups and one writer; move to a transactional multi-worker database when concurrency requires it. GrokBot submits structured work requests. A separate worker validates policy and produces either a result or an approval request. The LLM never directly signs arbitrary calldata.</w:t>
      </w:r>
    </w:p>
    <w:p>
      <w:pPr>
        <w:pStyle w:val="Heading2"/>
      </w:pPr>
      <w:r>
        <w:t>Minimum records</w:t>
      </w:r>
    </w:p>
    <w:p>
      <w:r>
        <w:t>Client: identity, rights evidence, agreement version, approved channels and fee terms. Launch: commission ID, chain ID, platform/provider version, token and pool addresses, recipient, quote asset, allocations, fee schedule, simulation block and manifest hash. Approval: signer identity, exact manifest hash, maximum gas, expiry and one-use nonce. Event: block hash, transaction hash, log index, token address, raw integer amount, decimals, observation time and source. Cost: invoice, client, category, currency and human minutes.</w:t>
      </w:r>
    </w:p>
    <w:p>
      <w:r>
        <w:t>Use a unique key of chain ID, transaction hash and log index to prevent duplicate accounting. Preserve raw responses; normalize in a separate table. Roll back unfinalized observations on chain reorganization and require the selected chain’s documented finality policy before closing a period. Store balances and flows separately. Label every asset by contract and decimals, never by ticker alone.</w:t>
      </w:r>
    </w:p>
    <w:p>
      <w:pPr>
        <w:pStyle w:val="Heading2"/>
      </w:pPr>
      <w:r>
        <w:t>Read path and reconciliation</w:t>
      </w:r>
    </w:p>
    <w:p>
      <w:r>
        <w:t>Bankr publishes unauthenticated launch and fee reads, including beneficiary shares and claimed amounts. Keep provider snapshots and reconcile against contract state and transaction receipts. These APIs are convenient indexes, not an independent second source. DEX Screener supplies discovery and pool context; its headline volume does not establish fee entitlement. [8,9]</w:t>
      </w:r>
    </w:p>
    <w:p>
      <w:r>
        <w:t>The research probe retrieved 50 recent Bankr launches: 15 Base, 34 Robinhood and one Arc. None was attributed to Tenzo in that response. This latest-launch slice is not an earnings study. One inspected Base token, JEV (0x0523c778babd94372ff4133e002e2e0d90a1eba3), returned zero fees and BNKR as its quote asset despite WETH-named aggregate fields. Zero could reflect age or indexing. The result demonstrates why asset labels must be checked; it proves no profitability rate. [10]</w:t>
      </w:r>
    </w:p>
    <w:p>
      <w:pPr>
        <w:pStyle w:val="Heading2"/>
      </w:pPr>
      <w:r>
        <w:t>Write path and recovery</w:t>
      </w:r>
    </w:p>
    <w:p>
      <w:r>
        <w:t>The approval service checks allowlisted chain, destination contracts, function selectors, recipients and maximum value. It binds approval to exact transaction intent and expires it on configuration changes. On timeout, look up the original job and transaction before retrying. A missing response is not permission to deploy a second token. Pin dependencies, package hashes and source commits; scan imported skills and inspect their scripts before admission.</w:t>
      </w:r>
    </w:p>
    <w:p>
      <w:r>
        <w:t>Start with BankrBot/skills at 8a007c2 and Clanker SDK at 4f4d2bb as reviewed reference snapshots, not certified packages. The former exposes broad trading capabilities; import only the needed adapter concepts. Clanker’s package declares MIT licensing; preserve notices and review dependencies separately. [5,11]</w:t>
      </w:r>
    </w:p>
    <w:p>
      <w:r>
        <w:br w:type="page"/>
      </w:r>
    </w:p>
    <w:p>
      <w:pPr>
        <w:pStyle w:val="Heading1"/>
      </w:pPr>
      <w:r>
        <w:t>7  Launch procedure and hard gates</w:t>
      </w:r>
    </w:p>
    <w:p>
      <w:r>
        <w:t>The Conductor may advance preparation without asking about every reversible step. A public launch remains one explicit approval event, backed by a complete packet. A failed gate produces a specific repair task or rejection, never a cosmetic green status.</w:t>
      </w:r>
    </w:p>
    <w:p>
      <w:pPr>
        <w:pStyle w:val="Heading2"/>
      </w:pPr>
      <w:r>
        <w:t>Before preparing a transaction</w:t>
      </w:r>
    </w:p>
    <w:p>
      <w:r>
        <w:t>1. Confirm the creator’s identity and permission to use every name, image and account. Record the intended audience and jurisdictions. Obtain human legal review of the actual token, service agreement, compensation and marketing. The SEC staff’s meme-coin statement is fact-specific and nonbinding; it does not clear every token structure or business that services one. [12]</w:t>
      </w:r>
    </w:p>
    <w:p>
      <w:r>
        <w:t>2. Freeze the approved configuration and public explanation. Show the full trading fee, its recipients, all allocations, liquidity restrictions, administrative powers and the limits of ongoing support. No hidden team wallets, wash trading, purchased fake engagement, undisclosed endorsements or claims of predictable gains. Fee participation is a conflict of interest and must be visible. FTC guidance calls for conspicuous disclosure of material connections. [13]</w:t>
      </w:r>
    </w:p>
    <w:p>
      <w:r>
        <w:t>3. Verify the provider deployment, implementation code and relevant admin permissions. Fixed supply and a liquidity lock alone do not establish safety. Check sellability through simulation, fee behavior, beneficiary changes and privileged functions. For the first Bankr configuration, explicitly request no vesting and quote-only fees. Verify the response and resulting state rather than trusting natural-language interpretation.</w:t>
      </w:r>
    </w:p>
    <w:p>
      <w:pPr>
        <w:pStyle w:val="Heading2"/>
      </w:pPr>
      <w:r>
        <w:t>Approval and execution</w:t>
      </w:r>
    </w:p>
    <w:p>
      <w:r>
        <w:t>4. Mechanic produces a human-readable manifest with exact chain, amounts, addresses, fee terms, metadata hash, recipients and simulation results. Prosecutor reviews it independently. Treasurer attaches the maximum network cost and budget line. Logan and the creator approve their respective responsibilities. The external signer receives only the approved request; an unexpected address or argument forces a new review.</w:t>
      </w:r>
    </w:p>
    <w:p>
      <w:r>
        <w:t>5. After broadcast, preserve the transaction hash and verify deployment and beneficiary state independently. Publish only the confirmed contract address through approved channels. No real buy/sell test is assumed authorized: use simulation first; any separately approved operational trade must be disclosed, excluded from organic-demand metrics and not used to create apparent activity.</w:t>
      </w:r>
    </w:p>
    <w:p>
      <w:pPr>
        <w:pStyle w:val="Heading2"/>
      </w:pPr>
      <w:r>
        <w:t>After launch and when retiring</w:t>
      </w:r>
    </w:p>
    <w:p>
      <w:r>
        <w:t>6. Monitor first-day errors and reconcile fees before reporting earnings. If permission, accounting or security checks fail, stop new launches and discretionary spending, revoke compromised access and alert Logan. Already deployed immutable contracts may continue functioning. The system cannot promise to reverse their activity.</w:t>
      </w:r>
    </w:p>
    <w:p>
      <w:r>
        <w:t>7. Retire an unviable engagement through the agreed notice and handoff: maintain address and risk records, export reports, settle legitimate invoices and transfer agreed administration only with approval. Stopping a project never authorizes liquidity withdrawal, deceptive deletion or redirecting someone else’s revenue. Keep the failure record available for subsequent commissions.</w:t>
      </w:r>
    </w:p>
    <w:p>
      <w:r>
        <w:br w:type="page"/>
      </w:r>
    </w:p>
    <w:p>
      <w:pPr>
        <w:pStyle w:val="Heading1"/>
      </w:pPr>
      <w:r>
        <w:t>8  Distribution and recurring operation</w:t>
      </w:r>
    </w:p>
    <w:p>
      <w:r>
        <w:t>Distribution is the scarce input. For the pilot, the creator supplies an existing community and approves a limited launch announcement. The studio supplies useful public information, original creative, transparent reporting and dependable support. There is no guaranteed organic-volume engine hidden inside the automation.</w:t>
      </w:r>
    </w:p>
    <w:p>
      <w:pPr>
        <w:pStyle w:val="Heading2"/>
      </w:pPr>
      <w:r>
        <w:t>Content and customer acquisition</w:t>
      </w:r>
    </w:p>
    <w:p>
      <w:r>
        <w:t>Prepare a seven-day editorial plan: an explanation of the project, a fee and allocation disclosure, an address-verification guide, original creative and answers to common operational questions. Public material must remain worthwhile without promising token gains. Use the creator’s established channels first. Defer paid promotion until both platform permission and contribution economics justify it.</w:t>
      </w:r>
    </w:p>
    <w:p>
      <w:r>
        <w:t>The reviewed Alphastack YouTube tutorial describes a browser-driven social agent with a wallet, journal and image generation. Its description and chapter list were accessible; a usable full transcript was not. It supplies a workflow idea, not audited business returns. Do not copy its browser-posting path: current X rules prohibit non-API automation, unsolicited automated outreach and automated trend manipulation; AI reply bots require prior written approval from X. [14,15]</w:t>
      </w:r>
    </w:p>
    <w:p>
      <w:r>
        <w:t>For the first month, agents draft while authorized humans publish and handle replies. Later, approved API scheduling may handle permitted top-level posts. Keep replies manual unless platform requirements and user consent are satisfied. Do not let social content invoke financial actions: the Bankr social skill itself warns that tagging its transaction-capable account can execute on-chain operations. [11]</w:t>
      </w:r>
    </w:p>
    <w:p>
      <w:pPr>
        <w:pStyle w:val="Heading2"/>
      </w:pPr>
      <w:r>
        <w:t>Service rhythm</w:t>
      </w:r>
    </w:p>
    <w:p>
      <w:r>
        <w:t>Every 15 minutes, a deterministic read job checks new receipts and provider health, with caching and backoff. Daily, Clock reconciles balances, fee assets and outstanding claims; Steward prepares a support summary; Treasurer identifies cost exceptions. The Conductor sends one brief containing observed receipts, missing evidence, work completed and the next decision. Quiet periods need no agent discussion.</w:t>
      </w:r>
    </w:p>
    <w:p>
      <w:r>
        <w:t>Weekly, deliver a client statement with claimed and unclaimed fees, studio entitlement, invoice status, costs, community support issues and administrative changes. Avoid attributing market volume to a post just because it followed publication. Referral links can measure site visits; trading attribution remains uncertain unless a defensible design establishes it.</w:t>
      </w:r>
    </w:p>
    <w:p>
      <w:pPr>
        <w:pStyle w:val="Heading2"/>
      </w:pPr>
      <w:r>
        <w:t>Scale and customer protection</w:t>
      </w:r>
    </w:p>
    <w:p>
      <w:r>
        <w:t>Run at most two clients until workload is measured. At ten clients, the proposed 30-minute weekly cap already implies five variable human hours, plus fixed overhead. If that breaches Logan’s cap, reduce scope, improve tooling or stop selling. At 100 clients, a dedicated service organization is likely required unless measured labor falls materially. Do not extrapolate 95% automation from a quiet first week.</w:t>
      </w:r>
    </w:p>
    <w:p>
      <w:r>
        <w:t>Credibility comes from correct statements, low error rates and fulfilled service obligations. Creator fees can reward churn and unnecessary trading, so staff are not paid for generating volume. Never encourage trading merely to finance the fleet. Customer and holder complaints are operating evidence, not social sentiment to suppress.</w:t>
      </w:r>
    </w:p>
    <w:p>
      <w:r>
        <w:br w:type="page"/>
      </w:r>
    </w:p>
    <w:p>
      <w:pPr>
        <w:pStyle w:val="Heading1"/>
      </w:pPr>
      <w:r>
        <w:t>9  Thirty day Gauntlet commission</w:t>
      </w:r>
    </w:p>
    <w:p>
      <w:r>
        <w:t>Commission CF-20260917-001 asks two separate questions: will independent creators pay for disciplined launch operations, and can our agreed fee share cover recurring costs without token sales, artificial activity or excessive human work? Admit research now; admit public launch only after the preceding gates. All thresholds below are proposed pilot decisions, not statistically established industry benchmarks.</w:t>
      </w:r>
    </w:p>
    <w:p>
      <w:pPr>
        <w:pStyle w:val="Heading2"/>
      </w:pPr>
      <w:r>
        <w:t>Days one through seven</w:t>
      </w:r>
    </w:p>
    <w:p>
      <w:r>
        <w:t>Repair the evidence gap before writing a profit narrative. Ask Logan to obtain Tenzo’s wallets, contracts, fee transactions and complete run interval if the original result is to be verified; no message has been sent. Build the read-only ledger and capture a prospective cohort of at least 100 consecutively observed launches over seven days, retaining dead, missing and zero-fee records. Observe each for seven days. Report platform coverage, duplicates, missingness, fee concentration and native assets. Fee outcomes without operator costs are not net profits.</w:t>
      </w:r>
    </w:p>
    <w:p>
      <w:r>
        <w:t>Implement replay tests for duplicate receipts, reorganizations, token decimals, missing prices, asset-label mismatches, unauthorized recipients, stale approvals and deployment timeouts. Examiner independently reconciles three public tokens with the underlying chain. Admission requires no unexplained accounting mismatch beyond documented rounding. If public data cannot support this, return NEEDS_DATA instead of treating the API as proof.</w:t>
      </w:r>
    </w:p>
    <w:p>
      <w:pPr>
        <w:pStyle w:val="Heading2"/>
      </w:pPr>
      <w:r>
        <w:t>Days eight through thirty</w:t>
      </w:r>
    </w:p>
    <w:p>
      <w:r>
        <w:t>Complete three creator conversations and seek one paid readiness engagement. Build the manifest, a clearly labeled sample dashboard and a simulated launch. If legal, technical and commercial gates pass, seek explicit approval for one live launch. Run it for 14 days within the budget, preserving all support and time records. Fees from the operator, affiliates or any financed trading are excluded from the organic-demand evaluation. Heuristic wallet clustering is a warning signal, not proof of beneficial ownership.</w:t>
      </w:r>
    </w:p>
    <w:p>
      <w:r>
        <w:t>Primary service outcome: cash collected for completed work minus actual acquisition, fulfillment, tool and human costs. Primary fee outcome: studio cash received from eligible fees minus allocated recurring costs, with setup revenue excluded. Report both alongside human minutes, incidents, disputed invoices, trader concentration and revenue excluding the first 24 hours. A small pilot estimates feasibility; it cannot establish durable expectancy.</w:t>
      </w:r>
    </w:p>
    <w:tbl>
      <w:tblPr>
        <w:tblW w:type="auto" w:w="0"/>
        <w:jc w:val="center"/>
        <w:tblLayout w:type="fixed"/>
        <w:tblLook w:firstColumn="1" w:firstRow="1" w:lastColumn="0" w:lastRow="0" w:noHBand="0" w:noVBand="1" w:val="04A0"/>
      </w:tblPr>
      <w:tblGrid>
        <w:gridCol w:w="2347"/>
        <w:gridCol w:w="7790"/>
      </w:tblGrid>
      <w:tr>
        <w:trPr>
          <w:cantSplit/>
          <w:tblHeader/>
        </w:trPr>
        <w:tc>
          <w:tcPr>
            <w:tcW w:type="dxa" w:w="2347"/>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Disposition</w:t>
            </w:r>
          </w:p>
        </w:tc>
        <w:tc>
          <w:tcPr>
            <w:tcW w:type="dxa" w:w="7790"/>
            <w:vAlign w:val="center"/>
            <w:shd w:fill="263B50"/>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b/>
                <w:color w:val="FFFFFF"/>
                <w:sz w:val="19"/>
              </w:rPr>
              <w:t>Proposed rule</w:t>
            </w:r>
          </w:p>
        </w:tc>
      </w:tr>
      <w:tr>
        <w:trPr>
          <w:cantSplit/>
        </w:trPr>
        <w:tc>
          <w:tcPr>
            <w:tcW w:type="dxa" w:w="2347"/>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HOLD</w:t>
            </w:r>
          </w:p>
        </w:tc>
        <w:tc>
          <w:tcPr>
            <w:tcW w:type="dxa" w:w="779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Missing receipts, legal clearance, client authorization or reliable accounting</w:t>
            </w:r>
          </w:p>
        </w:tc>
      </w:tr>
      <w:tr>
        <w:trPr>
          <w:cantSplit/>
        </w:trPr>
        <w:tc>
          <w:tcPr>
            <w:tcW w:type="dxa" w:w="2347"/>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REVISE SERVICE</w:t>
            </w:r>
          </w:p>
        </w:tc>
        <w:tc>
          <w:tcPr>
            <w:tcW w:type="dxa" w:w="779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Client pays, but scope or workload destroys contribution</w:t>
            </w:r>
          </w:p>
        </w:tc>
      </w:tr>
      <w:tr>
        <w:trPr>
          <w:cantSplit/>
        </w:trPr>
        <w:tc>
          <w:tcPr>
            <w:tcW w:type="dxa" w:w="2347"/>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FEES UNPROVEN</w:t>
            </w:r>
          </w:p>
        </w:tc>
        <w:tc>
          <w:tcPr>
            <w:tcW w:type="dxa" w:w="779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Service works but fee income does not cover recurring costs</w:t>
            </w:r>
          </w:p>
        </w:tc>
      </w:tr>
      <w:tr>
        <w:trPr>
          <w:cantSplit/>
        </w:trPr>
        <w:tc>
          <w:tcPr>
            <w:tcW w:type="dxa" w:w="2347"/>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LIMITED EXPANSION</w:t>
            </w:r>
          </w:p>
        </w:tc>
        <w:tc>
          <w:tcPr>
            <w:tcW w:type="dxa" w:w="779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Positive observed service contribution, clean controls and a second unrelated paying client</w:t>
            </w:r>
          </w:p>
        </w:tc>
      </w:tr>
      <w:tr>
        <w:trPr>
          <w:cantSplit/>
        </w:trPr>
        <w:tc>
          <w:tcPr>
            <w:tcW w:type="dxa" w:w="2347"/>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STOP LAUNCHES</w:t>
            </w:r>
          </w:p>
        </w:tc>
        <w:tc>
          <w:tcPr>
            <w:tcW w:type="dxa" w:w="7790"/>
            <w:vAlign w:val="center"/>
            <w:shd w:fill="F2F5F7"/>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45" w:lineRule="auto"/>
            </w:pPr>
            <w:r>
              <w:rPr>
                <w:sz w:val="19"/>
              </w:rPr>
              <w:t>Manipulation request, unauthorized action, security incident or exceeded approved budget</w:t>
            </w:r>
          </w:p>
        </w:tc>
      </w:tr>
    </w:tbl>
    <w:p/>
    <w:p>
      <w:r>
        <w:t>Fee-business promotion requires additional prospective cohorts and at least 60 days of receipts, with confidence and concentration reported. The 60-day duration is a review minimum, not proof by itself. A fee-only model can fail while a service remains viable. Return that precise finding to Discovery. The next approved volume step should be small enough to reverse operationally, with no standing authority to issue new tokens.</w:t>
      </w:r>
    </w:p>
    <w:p>
      <w:r>
        <w:br w:type="page"/>
      </w:r>
    </w:p>
    <w:p>
      <w:pPr>
        <w:pStyle w:val="Heading1"/>
      </w:pPr>
      <w:r>
        <w:t>10  Sources and research limits</w:t>
      </w:r>
    </w:p>
    <w:p>
      <w:r>
        <w:t>Sources checked for this playbook on 17 September 2026. Platform documentation can change; freeze the applicable contract configuration at launch. Links identify the evidence behind numbered references. The video audit is direct observation; platform descriptions are vendor claims; the operating design and economics are our proposals.</w:t>
      </w:r>
    </w:p>
    <w:p>
      <w:pPr>
        <w:spacing w:after="100" w:line="240" w:lineRule="auto"/>
      </w:pPr>
      <w:r>
        <w:rPr>
          <w:sz w:val="18"/>
        </w:rPr>
        <w:t xml:space="preserve">[1] </w:t>
      </w:r>
      <w:hyperlink r:id="rId11">
        <w:r>
          <w:rPr>
            <w:sz w:val="18"/>
          </w:rPr>
          <w:t>Tenzo source post and attached video</w:t>
        </w:r>
      </w:hyperlink>
      <w:r>
        <w:rPr>
          <w:sz w:val="18"/>
        </w:rPr>
        <w:t xml:space="preserve"> — Recovered through the FxTwitter public mirror; frames inspected at 8 and 24 seconds. No attributable chain receipts.</w:t>
      </w:r>
    </w:p>
    <w:p>
      <w:pPr>
        <w:spacing w:after="100" w:line="240" w:lineRule="auto"/>
      </w:pPr>
      <w:r>
        <w:rPr>
          <w:sz w:val="18"/>
        </w:rPr>
        <w:t xml:space="preserve">[2] </w:t>
      </w:r>
      <w:hyperlink r:id="rId12">
        <w:r>
          <w:rPr>
            <w:sz w:val="18"/>
          </w:rPr>
          <w:t>Bankr token launching overview</w:t>
        </w:r>
      </w:hyperlink>
      <w:r>
        <w:rPr>
          <w:sz w:val="18"/>
        </w:rPr>
        <w:t xml:space="preserve"> — Fee schedule, allocation defaults, quote-only option and retail limits; verify actual deployment.</w:t>
      </w:r>
    </w:p>
    <w:p>
      <w:pPr>
        <w:spacing w:after="100" w:line="240" w:lineRule="auto"/>
      </w:pPr>
      <w:r>
        <w:rPr>
          <w:sz w:val="18"/>
        </w:rPr>
        <w:t xml:space="preserve">[3] </w:t>
      </w:r>
      <w:hyperlink r:id="rId13">
        <w:r>
          <w:rPr>
            <w:sz w:val="18"/>
          </w:rPr>
          <w:t>Bankr fee redirecting</w:t>
        </w:r>
      </w:hyperlink>
      <w:r>
        <w:rPr>
          <w:sz w:val="18"/>
        </w:rPr>
        <w:t xml:space="preserve"> — Beneficiary rights and full-allocation transfer; not evidence of native multi-party splitting.</w:t>
      </w:r>
    </w:p>
    <w:p>
      <w:pPr>
        <w:spacing w:after="100" w:line="240" w:lineRule="auto"/>
      </w:pPr>
      <w:r>
        <w:rPr>
          <w:sz w:val="18"/>
        </w:rPr>
        <w:t xml:space="preserve">[4] </w:t>
      </w:r>
      <w:hyperlink r:id="rId14">
        <w:r>
          <w:rPr>
            <w:sz w:val="18"/>
          </w:rPr>
          <w:t>Clanker creator rewards and fees</w:t>
        </w:r>
      </w:hyperlink>
      <w:r>
        <w:rPr>
          <w:sz w:val="18"/>
        </w:rPr>
        <w:t xml:space="preserve"> — Initial-pool reward scope and fee examples.</w:t>
      </w:r>
    </w:p>
    <w:p>
      <w:pPr>
        <w:spacing w:after="100" w:line="240" w:lineRule="auto"/>
      </w:pPr>
      <w:r>
        <w:rPr>
          <w:sz w:val="18"/>
        </w:rPr>
        <w:t xml:space="preserve">[5] </w:t>
      </w:r>
      <w:hyperlink r:id="rId15">
        <w:r>
          <w:rPr>
            <w:sz w:val="18"/>
          </w:rPr>
          <w:t>Clanker SDK pinned V4 example</w:t>
        </w:r>
      </w:hyperlink>
      <w:r>
        <w:rPr>
          <w:sz w:val="18"/>
        </w:rPr>
        <w:t xml:space="preserve"> — Multiple recipients and explicit deployment settings. Package version read: 4.2.18; MIT declared.</w:t>
      </w:r>
    </w:p>
    <w:p>
      <w:pPr>
        <w:spacing w:after="100" w:line="240" w:lineRule="auto"/>
      </w:pPr>
      <w:r>
        <w:rPr>
          <w:sz w:val="18"/>
        </w:rPr>
        <w:t xml:space="preserve">[6] </w:t>
      </w:r>
      <w:hyperlink r:id="rId16">
        <w:r>
          <w:rPr>
            <w:sz w:val="18"/>
          </w:rPr>
          <w:t>GrokBot overview</w:t>
        </w:r>
      </w:hyperlink>
      <w:r>
        <w:rPr>
          <w:sz w:val="18"/>
        </w:rPr>
        <w:t xml:space="preserve"> — Shared computer and persistent Bots; roles do not create key isolation.</w:t>
      </w:r>
    </w:p>
    <w:p>
      <w:pPr>
        <w:spacing w:after="100" w:line="240" w:lineRule="auto"/>
      </w:pPr>
      <w:r>
        <w:rPr>
          <w:sz w:val="18"/>
        </w:rPr>
        <w:t xml:space="preserve">[7] </w:t>
      </w:r>
      <w:hyperlink r:id="rId17">
        <w:r>
          <w:rPr>
            <w:sz w:val="18"/>
          </w:rPr>
          <w:t>GrokBot skills and routines</w:t>
        </w:r>
      </w:hyperlink>
      <w:r>
        <w:rPr>
          <w:sz w:val="18"/>
        </w:rPr>
        <w:t xml:space="preserve"> — Reusable procedures and scheduled work; no implementation here was tested.</w:t>
      </w:r>
    </w:p>
    <w:p>
      <w:pPr>
        <w:spacing w:after="100" w:line="240" w:lineRule="auto"/>
      </w:pPr>
      <w:r>
        <w:rPr>
          <w:sz w:val="18"/>
        </w:rPr>
        <w:t xml:space="preserve">[8] </w:t>
      </w:r>
      <w:hyperlink r:id="rId18">
        <w:r>
          <w:rPr>
            <w:sz w:val="18"/>
          </w:rPr>
          <w:t>Bankr reading creator fees</w:t>
        </w:r>
      </w:hyperlink>
      <w:r>
        <w:rPr>
          <w:sz w:val="18"/>
        </w:rPr>
        <w:t xml:space="preserve"> — Public reads and chain reconciliation fields.</w:t>
      </w:r>
    </w:p>
    <w:p>
      <w:pPr>
        <w:spacing w:after="100" w:line="240" w:lineRule="auto"/>
      </w:pPr>
      <w:r>
        <w:rPr>
          <w:sz w:val="18"/>
        </w:rPr>
        <w:t xml:space="preserve">[9] </w:t>
      </w:r>
      <w:hyperlink r:id="rId19">
        <w:r>
          <w:rPr>
            <w:sz w:val="18"/>
          </w:rPr>
          <w:t>DEX Screener API reference</w:t>
        </w:r>
      </w:hyperlink>
      <w:r>
        <w:rPr>
          <w:sz w:val="18"/>
        </w:rPr>
        <w:t xml:space="preserve"> — Discovery and market-context interfaces, not audited fee revenue.</w:t>
      </w:r>
    </w:p>
    <w:p>
      <w:pPr>
        <w:spacing w:after="100" w:line="240" w:lineRule="auto"/>
      </w:pPr>
      <w:r>
        <w:rPr>
          <w:sz w:val="18"/>
        </w:rPr>
        <w:t xml:space="preserve">[10] </w:t>
      </w:r>
      <w:hyperlink r:id="rId20">
        <w:r>
          <w:rPr>
            <w:sz w:val="18"/>
          </w:rPr>
          <w:t>Bankr public recent launches endpoint</w:t>
        </w:r>
      </w:hyperlink>
      <w:r>
        <w:rPr>
          <w:sz w:val="18"/>
        </w:rPr>
        <w:t xml:space="preserve"> — 50-row snapshot retrieved. JEV fee lookup used /public/doppler/token-fees/{address}?days=30; no representative earnings inference.</w:t>
      </w:r>
    </w:p>
    <w:p>
      <w:pPr>
        <w:spacing w:after="100" w:line="240" w:lineRule="auto"/>
      </w:pPr>
      <w:r>
        <w:rPr>
          <w:sz w:val="18"/>
        </w:rPr>
        <w:t xml:space="preserve">[11] </w:t>
      </w:r>
      <w:hyperlink r:id="rId21">
        <w:r>
          <w:rPr>
            <w:sz w:val="18"/>
          </w:rPr>
          <w:t>Bankr skills pinned repository</w:t>
        </w:r>
      </w:hyperlink>
      <w:r>
        <w:rPr>
          <w:sz w:val="18"/>
        </w:rPr>
        <w:t xml:space="preserve"> — Read bankr, clanker and bankr-twitter-agent skills. Reference review only; no installation or security certification.</w:t>
      </w:r>
    </w:p>
    <w:p>
      <w:pPr>
        <w:spacing w:after="100" w:line="240" w:lineRule="auto"/>
      </w:pPr>
      <w:r>
        <w:rPr>
          <w:sz w:val="18"/>
        </w:rPr>
        <w:t xml:space="preserve">[12] </w:t>
      </w:r>
      <w:hyperlink r:id="rId22">
        <w:r>
          <w:rPr>
            <w:sz w:val="18"/>
          </w:rPr>
          <w:t>SEC staff statement on meme coins</w:t>
        </w:r>
      </w:hyperlink>
      <w:r>
        <w:rPr>
          <w:sz w:val="18"/>
        </w:rPr>
        <w:t xml:space="preserve"> — 27 February 2025; nonbinding and fact-specific. Not legal clearance for this business.</w:t>
      </w:r>
    </w:p>
    <w:p>
      <w:pPr>
        <w:spacing w:after="100" w:line="240" w:lineRule="auto"/>
      </w:pPr>
      <w:r>
        <w:rPr>
          <w:sz w:val="18"/>
        </w:rPr>
        <w:t xml:space="preserve">[13] </w:t>
      </w:r>
      <w:hyperlink r:id="rId23">
        <w:r>
          <w:rPr>
            <w:sz w:val="18"/>
          </w:rPr>
          <w:t>FTC disclosures for social media influencers</w:t>
        </w:r>
      </w:hyperlink>
      <w:r>
        <w:rPr>
          <w:sz w:val="18"/>
        </w:rPr>
        <w:t xml:space="preserve"> — Material relationships and conspicuous disclosures.</w:t>
      </w:r>
    </w:p>
    <w:p>
      <w:pPr>
        <w:spacing w:after="100" w:line="240" w:lineRule="auto"/>
      </w:pPr>
      <w:r>
        <w:rPr>
          <w:sz w:val="18"/>
        </w:rPr>
        <w:t xml:space="preserve">[14] </w:t>
      </w:r>
      <w:hyperlink r:id="rId24">
        <w:r>
          <w:rPr>
            <w:sz w:val="18"/>
          </w:rPr>
          <w:t>Alphastack agent tutorial on YouTube</w:t>
        </w:r>
      </w:hyperlink>
      <w:r>
        <w:rPr>
          <w:sz w:val="18"/>
        </w:rPr>
        <w:t xml:space="preserve"> — Description and chapters inspected, not full transcript or independently verified results.</w:t>
      </w:r>
    </w:p>
    <w:p>
      <w:pPr>
        <w:spacing w:after="100" w:line="240" w:lineRule="auto"/>
      </w:pPr>
      <w:r>
        <w:rPr>
          <w:sz w:val="18"/>
        </w:rPr>
        <w:t xml:space="preserve">[15] </w:t>
      </w:r>
      <w:hyperlink r:id="rId25">
        <w:r>
          <w:rPr>
            <w:sz w:val="18"/>
          </w:rPr>
          <w:t>X automation rules</w:t>
        </w:r>
      </w:hyperlink>
      <w:r>
        <w:rPr>
          <w:sz w:val="18"/>
        </w:rPr>
        <w:t xml:space="preserve"> — April 2026 version retrieved; automation, spam and AI-reply constraints.</w:t>
      </w:r>
    </w:p>
    <w:p>
      <w:pPr>
        <w:spacing w:after="100" w:line="240" w:lineRule="auto"/>
      </w:pPr>
      <w:r>
        <w:rPr>
          <w:sz w:val="18"/>
        </w:rPr>
        <w:t xml:space="preserve">[16] </w:t>
      </w:r>
      <w:hyperlink r:id="rId26">
        <w:r>
          <w:rPr>
            <w:sz w:val="18"/>
          </w:rPr>
          <w:t>Pump.fun fee schedule</w:t>
        </w:r>
      </w:hyperlink>
      <w:r>
        <w:rPr>
          <w:sz w:val="18"/>
        </w:rPr>
        <w:t xml:space="preserve"> — Alternative-platform comparison; curve versus graduated creator rates.</w:t>
      </w:r>
    </w:p>
    <w:p>
      <w:pPr>
        <w:spacing w:after="100" w:line="240" w:lineRule="auto"/>
      </w:pPr>
      <w:r>
        <w:rPr>
          <w:sz w:val="18"/>
        </w:rPr>
        <w:t xml:space="preserve">[17] </w:t>
      </w:r>
      <w:hyperlink r:id="rId27">
        <w:r>
          <w:rPr>
            <w:sz w:val="18"/>
          </w:rPr>
          <w:t>Bankr security best practices</w:t>
        </w:r>
      </w:hyperlink>
      <w:r>
        <w:rPr>
          <w:sz w:val="18"/>
        </w:rPr>
        <w:t xml:space="preserve"> — API scopes, transaction controls and read-only settings; validate enforcement before use.</w:t>
      </w:r>
    </w:p>
    <w:p>
      <w:r>
        <w:rPr>
          <w:sz w:val="18"/>
        </w:rPr>
        <w:t>Open items: no verified Tenzo ledger; no representative launch-profit dataset; no client commitments; no live fee claim or signing integration tested; no jurisdiction-specific legal opinion. These are named work items for the first commission, not assumed successes.</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Proposed operating design  |  17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GAUNTLET OS  /  CREATOR FEE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x.com/0xTenzo/status/2100298683648762261" TargetMode="External"/><Relationship Id="rId12" Type="http://schemas.openxmlformats.org/officeDocument/2006/relationships/hyperlink" Target="https://docs.bankr.bot/token-launching/overview/" TargetMode="External"/><Relationship Id="rId13" Type="http://schemas.openxmlformats.org/officeDocument/2006/relationships/hyperlink" Target="https://docs.bankr.bot/token-launching/fee-splitting/" TargetMode="External"/><Relationship Id="rId14" Type="http://schemas.openxmlformats.org/officeDocument/2006/relationships/hyperlink" Target="https://clanker.gitbook.io/documentation/general/creator-rewards-and-fees" TargetMode="External"/><Relationship Id="rId15" Type="http://schemas.openxmlformats.org/officeDocument/2006/relationships/hyperlink" Target="https://github.com/clanker-devco/clanker-sdk/blob/4f4d2bbf41c7f10543559dc043c85f443a6d452e/examples/v4/deployV4.ts" TargetMode="External"/><Relationship Id="rId16" Type="http://schemas.openxmlformats.org/officeDocument/2006/relationships/hyperlink" Target="https://docs.x.ai/grok-bot/overview" TargetMode="External"/><Relationship Id="rId17" Type="http://schemas.openxmlformats.org/officeDocument/2006/relationships/hyperlink" Target="https://docs.x.ai/grok-bot/skills-routines-and-automations" TargetMode="External"/><Relationship Id="rId18" Type="http://schemas.openxmlformats.org/officeDocument/2006/relationships/hyperlink" Target="https://docs.bankr.bot/token-launching/reading-fees/" TargetMode="External"/><Relationship Id="rId19" Type="http://schemas.openxmlformats.org/officeDocument/2006/relationships/hyperlink" Target="https://docs.dexscreener.com/api/reference" TargetMode="External"/><Relationship Id="rId20" Type="http://schemas.openxmlformats.org/officeDocument/2006/relationships/hyperlink" Target="https://api.bankr.bot/token-launches" TargetMode="External"/><Relationship Id="rId21" Type="http://schemas.openxmlformats.org/officeDocument/2006/relationships/hyperlink" Target="https://github.com/BankrBot/skills/tree/8a007c297a17598dfe17d5917ddd3bd2b42a2a6a" TargetMode="External"/><Relationship Id="rId22" Type="http://schemas.openxmlformats.org/officeDocument/2006/relationships/hyperlink" Target="https://www.sec.gov/newsroom/speeches-statements/staff-statement-meme-coins" TargetMode="External"/><Relationship Id="rId23" Type="http://schemas.openxmlformats.org/officeDocument/2006/relationships/hyperlink" Target="https://www.ftc.gov/business-guidance/resources/disclosures-101-social-media-influencers" TargetMode="External"/><Relationship Id="rId24" Type="http://schemas.openxmlformats.org/officeDocument/2006/relationships/hyperlink" Target="https://www.youtube.com/watch?v=AdGL70FaqVE" TargetMode="External"/><Relationship Id="rId25" Type="http://schemas.openxmlformats.org/officeDocument/2006/relationships/hyperlink" Target="https://help.x.com/en/rules-and-policies/x-automation" TargetMode="External"/><Relationship Id="rId26" Type="http://schemas.openxmlformats.org/officeDocument/2006/relationships/hyperlink" Target="https://pump.fun/docs/fees" TargetMode="External"/><Relationship Id="rId27" Type="http://schemas.openxmlformats.org/officeDocument/2006/relationships/hyperlink" Target="https://docs.bankr.bot/security/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Creator Token Operations Playbook</dc:title>
  <dc:subject>Gauntlet OS business experiment and GrokBot operating design</dc:subject>
  <dc:creator>ChatGPT for Logan M</dc:creator>
  <cp:keywords/>
  <dc:description>generated by python-docx</dc:description>
  <cp:lastModifiedBy/>
  <cp:revision>1</cp:revision>
  <dcterms:created xsi:type="dcterms:W3CDTF">2013-12-23T23:15:00Z</dcterms:created>
  <dcterms:modified xsi:type="dcterms:W3CDTF">2013-12-23T23:15:00Z</dcterms:modified>
  <cp:category/>
</cp:coreProperties>
</file>