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372408" w14:textId="77777777" w:rsidR="00482689" w:rsidRPr="00482689" w:rsidRDefault="00482689" w:rsidP="00482689">
      <w:pPr>
        <w:spacing w:before="100" w:beforeAutospacing="1" w:after="100" w:afterAutospacing="1" w:line="240" w:lineRule="auto"/>
        <w:outlineLvl w:val="1"/>
        <w:rPr>
          <w:rFonts w:eastAsia="Times New Roman" w:cs="Times New Roman"/>
          <w:b/>
          <w:bCs/>
          <w:sz w:val="36"/>
          <w:szCs w:val="36"/>
        </w:rPr>
      </w:pPr>
      <w:r w:rsidRPr="00482689">
        <w:rPr>
          <w:rFonts w:eastAsia="Times New Roman" w:cs="Times New Roman"/>
          <w:b/>
          <w:bCs/>
          <w:sz w:val="36"/>
          <w:szCs w:val="36"/>
        </w:rPr>
        <w:t>Naming Conventions</w:t>
      </w:r>
    </w:p>
    <w:p w14:paraId="5A6E1594" w14:textId="77777777" w:rsidR="00482689" w:rsidRPr="00482689" w:rsidRDefault="00482689" w:rsidP="00482689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sz w:val="27"/>
          <w:szCs w:val="27"/>
        </w:rPr>
      </w:pPr>
      <w:r w:rsidRPr="00482689">
        <w:rPr>
          <w:rFonts w:eastAsia="Times New Roman" w:cs="Times New Roman"/>
          <w:b/>
          <w:bCs/>
          <w:sz w:val="27"/>
          <w:szCs w:val="27"/>
        </w:rPr>
        <w:t>General Principles</w:t>
      </w:r>
    </w:p>
    <w:p w14:paraId="4C3EC454" w14:textId="77777777" w:rsidR="00482689" w:rsidRPr="00482689" w:rsidRDefault="00482689" w:rsidP="00482689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eastAsia="Times New Roman" w:cs="Times New Roman"/>
          <w:szCs w:val="24"/>
        </w:rPr>
      </w:pPr>
      <w:r w:rsidRPr="00482689">
        <w:rPr>
          <w:rFonts w:eastAsia="Times New Roman" w:cs="Times New Roman"/>
          <w:szCs w:val="24"/>
        </w:rPr>
        <w:t xml:space="preserve">Use </w:t>
      </w:r>
      <w:proofErr w:type="spellStart"/>
      <w:r w:rsidRPr="00482689">
        <w:rPr>
          <w:rFonts w:eastAsia="Times New Roman" w:cs="Times New Roman"/>
          <w:szCs w:val="24"/>
        </w:rPr>
        <w:t>snake_case</w:t>
      </w:r>
      <w:proofErr w:type="spellEnd"/>
      <w:r w:rsidRPr="00482689">
        <w:rPr>
          <w:rFonts w:eastAsia="Times New Roman" w:cs="Times New Roman"/>
          <w:szCs w:val="24"/>
        </w:rPr>
        <w:t xml:space="preserve"> for all object names.</w:t>
      </w:r>
    </w:p>
    <w:p w14:paraId="1EFEA422" w14:textId="77777777" w:rsidR="00482689" w:rsidRPr="00482689" w:rsidRDefault="00482689" w:rsidP="00482689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eastAsia="Times New Roman" w:cs="Times New Roman"/>
          <w:szCs w:val="24"/>
        </w:rPr>
      </w:pPr>
      <w:r w:rsidRPr="00482689">
        <w:rPr>
          <w:rFonts w:eastAsia="Times New Roman" w:cs="Times New Roman"/>
          <w:szCs w:val="24"/>
        </w:rPr>
        <w:t>Use clear, descriptive English names.</w:t>
      </w:r>
    </w:p>
    <w:p w14:paraId="472C89A7" w14:textId="16FF06AD" w:rsidR="00482689" w:rsidRPr="00482689" w:rsidRDefault="00482689" w:rsidP="00482689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eastAsia="Times New Roman" w:cs="Times New Roman"/>
          <w:szCs w:val="24"/>
        </w:rPr>
      </w:pPr>
      <w:r w:rsidRPr="00482689">
        <w:rPr>
          <w:rFonts w:eastAsia="Times New Roman" w:cs="Times New Roman"/>
          <w:szCs w:val="24"/>
        </w:rPr>
        <w:t>Avoid using SQL reserved words for object names such as tables, columns, or procedures.</w:t>
      </w:r>
    </w:p>
    <w:p w14:paraId="12A998C6" w14:textId="77777777" w:rsidR="00482689" w:rsidRPr="00482689" w:rsidRDefault="00482689" w:rsidP="00482689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sz w:val="27"/>
          <w:szCs w:val="27"/>
        </w:rPr>
      </w:pPr>
      <w:r w:rsidRPr="00482689">
        <w:rPr>
          <w:rFonts w:eastAsia="Times New Roman" w:cs="Times New Roman"/>
          <w:b/>
          <w:bCs/>
          <w:sz w:val="27"/>
          <w:szCs w:val="27"/>
        </w:rPr>
        <w:t>Table Naming Conventions</w:t>
      </w:r>
    </w:p>
    <w:p w14:paraId="0F5693E3" w14:textId="75540C97" w:rsidR="00482689" w:rsidRPr="00482689" w:rsidRDefault="00482689" w:rsidP="00482689">
      <w:pPr>
        <w:spacing w:before="100" w:beforeAutospacing="1" w:after="100" w:afterAutospacing="1" w:line="240" w:lineRule="auto"/>
        <w:rPr>
          <w:rFonts w:eastAsia="Times New Roman" w:cs="Times New Roman"/>
          <w:szCs w:val="24"/>
        </w:rPr>
      </w:pPr>
      <w:r w:rsidRPr="00482689">
        <w:rPr>
          <w:rFonts w:eastAsia="Times New Roman" w:cs="Times New Roman"/>
          <w:b/>
          <w:bCs/>
          <w:szCs w:val="24"/>
        </w:rPr>
        <w:t>Staging</w:t>
      </w:r>
      <w:r w:rsidR="00E22A16">
        <w:rPr>
          <w:rFonts w:eastAsia="Times New Roman" w:cs="Times New Roman"/>
          <w:b/>
          <w:bCs/>
          <w:szCs w:val="24"/>
        </w:rPr>
        <w:t>/Bronze</w:t>
      </w:r>
      <w:r w:rsidRPr="00482689">
        <w:rPr>
          <w:rFonts w:eastAsia="Times New Roman" w:cs="Times New Roman"/>
          <w:b/>
          <w:bCs/>
          <w:szCs w:val="24"/>
        </w:rPr>
        <w:t xml:space="preserve"> Layer</w:t>
      </w:r>
    </w:p>
    <w:p w14:paraId="07742889" w14:textId="77777777" w:rsidR="00482689" w:rsidRPr="00482689" w:rsidRDefault="00482689" w:rsidP="00482689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eastAsia="Times New Roman" w:cs="Times New Roman"/>
          <w:szCs w:val="24"/>
        </w:rPr>
      </w:pPr>
      <w:r w:rsidRPr="00482689">
        <w:rPr>
          <w:rFonts w:eastAsia="Times New Roman" w:cs="Times New Roman"/>
          <w:szCs w:val="24"/>
        </w:rPr>
        <w:t>All table names must start with the data source name and match the original names from the source system.</w:t>
      </w:r>
    </w:p>
    <w:p w14:paraId="0E43C4AC" w14:textId="77777777" w:rsidR="00482689" w:rsidRPr="00482689" w:rsidRDefault="00482689" w:rsidP="00482689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eastAsia="Times New Roman" w:cs="Times New Roman"/>
          <w:szCs w:val="24"/>
        </w:rPr>
      </w:pPr>
      <w:r w:rsidRPr="00482689">
        <w:rPr>
          <w:rFonts w:eastAsia="Times New Roman" w:cs="Times New Roman"/>
          <w:szCs w:val="24"/>
        </w:rPr>
        <w:t>Structure: data source name followed by the entity name.</w:t>
      </w:r>
    </w:p>
    <w:p w14:paraId="58DCB71A" w14:textId="77777777" w:rsidR="00482689" w:rsidRPr="00482689" w:rsidRDefault="00482689" w:rsidP="00482689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eastAsia="Times New Roman" w:cs="Times New Roman"/>
          <w:szCs w:val="24"/>
        </w:rPr>
      </w:pPr>
      <w:r w:rsidRPr="00482689">
        <w:rPr>
          <w:rFonts w:eastAsia="Times New Roman" w:cs="Times New Roman"/>
          <w:szCs w:val="24"/>
        </w:rPr>
        <w:t>The purpose is to preserve the raw structure for traceability and easy debugging.</w:t>
      </w:r>
    </w:p>
    <w:p w14:paraId="26693843" w14:textId="77777777" w:rsidR="00482689" w:rsidRPr="00482689" w:rsidRDefault="00482689" w:rsidP="00482689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eastAsia="Times New Roman" w:cs="Times New Roman"/>
          <w:szCs w:val="24"/>
        </w:rPr>
      </w:pPr>
      <w:r w:rsidRPr="00482689">
        <w:rPr>
          <w:rFonts w:eastAsia="Times New Roman" w:cs="Times New Roman"/>
          <w:szCs w:val="24"/>
        </w:rPr>
        <w:t>Example: “</w:t>
      </w:r>
      <w:proofErr w:type="spellStart"/>
      <w:r w:rsidRPr="00482689">
        <w:rPr>
          <w:rFonts w:eastAsia="Times New Roman" w:cs="Times New Roman"/>
          <w:szCs w:val="24"/>
        </w:rPr>
        <w:t>noaa_alerts</w:t>
      </w:r>
      <w:proofErr w:type="spellEnd"/>
      <w:r w:rsidRPr="00482689">
        <w:rPr>
          <w:rFonts w:eastAsia="Times New Roman" w:cs="Times New Roman"/>
          <w:szCs w:val="24"/>
        </w:rPr>
        <w:t>” represents weather alerts from the NOAA API.</w:t>
      </w:r>
    </w:p>
    <w:p w14:paraId="2DA037AF" w14:textId="77777777" w:rsidR="00482689" w:rsidRPr="00482689" w:rsidRDefault="00482689" w:rsidP="00482689">
      <w:pPr>
        <w:spacing w:before="100" w:beforeAutospacing="1" w:after="100" w:afterAutospacing="1" w:line="240" w:lineRule="auto"/>
        <w:rPr>
          <w:rFonts w:eastAsia="Times New Roman" w:cs="Times New Roman"/>
          <w:szCs w:val="24"/>
        </w:rPr>
      </w:pPr>
      <w:r w:rsidRPr="00482689">
        <w:rPr>
          <w:rFonts w:eastAsia="Times New Roman" w:cs="Times New Roman"/>
          <w:b/>
          <w:bCs/>
          <w:szCs w:val="24"/>
        </w:rPr>
        <w:t>Silver Layer</w:t>
      </w:r>
    </w:p>
    <w:p w14:paraId="76850A24" w14:textId="77777777" w:rsidR="00482689" w:rsidRPr="00482689" w:rsidRDefault="00482689" w:rsidP="00482689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eastAsia="Times New Roman" w:cs="Times New Roman"/>
          <w:szCs w:val="24"/>
        </w:rPr>
      </w:pPr>
      <w:r w:rsidRPr="00482689">
        <w:rPr>
          <w:rFonts w:eastAsia="Times New Roman" w:cs="Times New Roman"/>
          <w:szCs w:val="24"/>
        </w:rPr>
        <w:t>All table names must start with the data source name and represent cleaned, standardized versions of the staging tables.</w:t>
      </w:r>
    </w:p>
    <w:p w14:paraId="68E2F18D" w14:textId="77777777" w:rsidR="00482689" w:rsidRPr="00482689" w:rsidRDefault="00482689" w:rsidP="00482689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eastAsia="Times New Roman" w:cs="Times New Roman"/>
          <w:szCs w:val="24"/>
        </w:rPr>
      </w:pPr>
      <w:r w:rsidRPr="00482689">
        <w:rPr>
          <w:rFonts w:eastAsia="Times New Roman" w:cs="Times New Roman"/>
          <w:szCs w:val="24"/>
        </w:rPr>
        <w:t>Structure: data source name followed by the entity name.</w:t>
      </w:r>
    </w:p>
    <w:p w14:paraId="65598C68" w14:textId="77777777" w:rsidR="00482689" w:rsidRPr="00482689" w:rsidRDefault="00482689" w:rsidP="00482689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eastAsia="Times New Roman" w:cs="Times New Roman"/>
          <w:szCs w:val="24"/>
        </w:rPr>
      </w:pPr>
      <w:r w:rsidRPr="00482689">
        <w:rPr>
          <w:rFonts w:eastAsia="Times New Roman" w:cs="Times New Roman"/>
          <w:szCs w:val="24"/>
        </w:rPr>
        <w:t>The purpose is to reflect standardized and validated data derived from the staging layer.</w:t>
      </w:r>
    </w:p>
    <w:p w14:paraId="376C57FC" w14:textId="77777777" w:rsidR="00482689" w:rsidRPr="00482689" w:rsidRDefault="00482689" w:rsidP="00482689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eastAsia="Times New Roman" w:cs="Times New Roman"/>
          <w:szCs w:val="24"/>
        </w:rPr>
      </w:pPr>
      <w:r w:rsidRPr="00482689">
        <w:rPr>
          <w:rFonts w:eastAsia="Times New Roman" w:cs="Times New Roman"/>
          <w:szCs w:val="24"/>
        </w:rPr>
        <w:t>Example: “</w:t>
      </w:r>
      <w:proofErr w:type="spellStart"/>
      <w:r w:rsidRPr="00482689">
        <w:rPr>
          <w:rFonts w:eastAsia="Times New Roman" w:cs="Times New Roman"/>
          <w:szCs w:val="24"/>
        </w:rPr>
        <w:t>openweather_conditions</w:t>
      </w:r>
      <w:proofErr w:type="spellEnd"/>
      <w:r w:rsidRPr="00482689">
        <w:rPr>
          <w:rFonts w:eastAsia="Times New Roman" w:cs="Times New Roman"/>
          <w:szCs w:val="24"/>
        </w:rPr>
        <w:t>” represents cleaned weather condition data from OpenWeather.</w:t>
      </w:r>
    </w:p>
    <w:p w14:paraId="52782F18" w14:textId="77777777" w:rsidR="00482689" w:rsidRPr="00482689" w:rsidRDefault="00482689" w:rsidP="00482689">
      <w:pPr>
        <w:spacing w:before="100" w:beforeAutospacing="1" w:after="100" w:afterAutospacing="1" w:line="240" w:lineRule="auto"/>
        <w:rPr>
          <w:rFonts w:eastAsia="Times New Roman" w:cs="Times New Roman"/>
          <w:szCs w:val="24"/>
        </w:rPr>
      </w:pPr>
      <w:r w:rsidRPr="00482689">
        <w:rPr>
          <w:rFonts w:eastAsia="Times New Roman" w:cs="Times New Roman"/>
          <w:b/>
          <w:bCs/>
          <w:szCs w:val="24"/>
        </w:rPr>
        <w:t>Gold Layer</w:t>
      </w:r>
    </w:p>
    <w:p w14:paraId="67B38FAC" w14:textId="77777777" w:rsidR="00482689" w:rsidRPr="00482689" w:rsidRDefault="00482689" w:rsidP="00482689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eastAsia="Times New Roman" w:cs="Times New Roman"/>
          <w:szCs w:val="24"/>
        </w:rPr>
      </w:pPr>
      <w:r w:rsidRPr="00482689">
        <w:rPr>
          <w:rFonts w:eastAsia="Times New Roman" w:cs="Times New Roman"/>
          <w:szCs w:val="24"/>
        </w:rPr>
        <w:t>Table names should be business-oriented and start with a category prefix such as “dim” for dimension tables or “fact” for fact tables.</w:t>
      </w:r>
    </w:p>
    <w:p w14:paraId="6E9B9F29" w14:textId="77777777" w:rsidR="00482689" w:rsidRPr="00482689" w:rsidRDefault="00482689" w:rsidP="00482689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eastAsia="Times New Roman" w:cs="Times New Roman"/>
          <w:szCs w:val="24"/>
        </w:rPr>
      </w:pPr>
      <w:r w:rsidRPr="00482689">
        <w:rPr>
          <w:rFonts w:eastAsia="Times New Roman" w:cs="Times New Roman"/>
          <w:szCs w:val="24"/>
        </w:rPr>
        <w:t>Structure: category prefix followed by a descriptive entity name.</w:t>
      </w:r>
    </w:p>
    <w:p w14:paraId="6335D464" w14:textId="77777777" w:rsidR="00482689" w:rsidRPr="00482689" w:rsidRDefault="00482689" w:rsidP="00482689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eastAsia="Times New Roman" w:cs="Times New Roman"/>
          <w:szCs w:val="24"/>
        </w:rPr>
      </w:pPr>
      <w:r w:rsidRPr="00482689">
        <w:rPr>
          <w:rFonts w:eastAsia="Times New Roman" w:cs="Times New Roman"/>
          <w:szCs w:val="24"/>
        </w:rPr>
        <w:t>The purpose is to align tables with business terminology for reporting and analytics.</w:t>
      </w:r>
    </w:p>
    <w:p w14:paraId="64D27442" w14:textId="0B02DA8E" w:rsidR="00482689" w:rsidRPr="00482689" w:rsidRDefault="00482689" w:rsidP="00482689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eastAsia="Times New Roman" w:cs="Times New Roman"/>
          <w:szCs w:val="24"/>
        </w:rPr>
      </w:pPr>
      <w:r w:rsidRPr="00482689">
        <w:rPr>
          <w:rFonts w:eastAsia="Times New Roman" w:cs="Times New Roman"/>
          <w:szCs w:val="24"/>
        </w:rPr>
        <w:t>Example: “</w:t>
      </w:r>
      <w:proofErr w:type="spellStart"/>
      <w:r w:rsidRPr="00482689">
        <w:rPr>
          <w:rFonts w:eastAsia="Times New Roman" w:cs="Times New Roman"/>
          <w:szCs w:val="24"/>
        </w:rPr>
        <w:t>dim_alerts</w:t>
      </w:r>
      <w:proofErr w:type="spellEnd"/>
      <w:r w:rsidRPr="00482689">
        <w:rPr>
          <w:rFonts w:eastAsia="Times New Roman" w:cs="Times New Roman"/>
          <w:szCs w:val="24"/>
        </w:rPr>
        <w:t>” stores descriptive information about alert categories, while “</w:t>
      </w:r>
      <w:proofErr w:type="spellStart"/>
      <w:r w:rsidRPr="00482689">
        <w:rPr>
          <w:rFonts w:eastAsia="Times New Roman" w:cs="Times New Roman"/>
          <w:szCs w:val="24"/>
        </w:rPr>
        <w:t>fact_conditions</w:t>
      </w:r>
      <w:proofErr w:type="spellEnd"/>
      <w:r w:rsidRPr="00482689">
        <w:rPr>
          <w:rFonts w:eastAsia="Times New Roman" w:cs="Times New Roman"/>
          <w:szCs w:val="24"/>
        </w:rPr>
        <w:t>” stores daily condition facts.</w:t>
      </w:r>
    </w:p>
    <w:p w14:paraId="78C2E6C2" w14:textId="77777777" w:rsidR="00482689" w:rsidRPr="00482689" w:rsidRDefault="00482689" w:rsidP="00482689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sz w:val="27"/>
          <w:szCs w:val="27"/>
        </w:rPr>
      </w:pPr>
      <w:r w:rsidRPr="00482689">
        <w:rPr>
          <w:rFonts w:eastAsia="Times New Roman" w:cs="Times New Roman"/>
          <w:b/>
          <w:bCs/>
          <w:sz w:val="27"/>
          <w:szCs w:val="27"/>
        </w:rPr>
        <w:t>Column Naming Conventions</w:t>
      </w:r>
    </w:p>
    <w:p w14:paraId="681B980F" w14:textId="77777777" w:rsidR="00482689" w:rsidRPr="00482689" w:rsidRDefault="00482689" w:rsidP="00482689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eastAsia="Times New Roman" w:cs="Times New Roman"/>
          <w:szCs w:val="24"/>
        </w:rPr>
      </w:pPr>
      <w:r w:rsidRPr="00482689">
        <w:rPr>
          <w:rFonts w:eastAsia="Times New Roman" w:cs="Times New Roman"/>
          <w:szCs w:val="24"/>
        </w:rPr>
        <w:t>Primary key columns in dimension tables must end with the suffix “_key.”</w:t>
      </w:r>
      <w:r w:rsidRPr="00482689">
        <w:rPr>
          <w:rFonts w:eastAsia="Times New Roman" w:cs="Times New Roman"/>
          <w:szCs w:val="24"/>
        </w:rPr>
        <w:br/>
        <w:t>Example: “</w:t>
      </w:r>
      <w:proofErr w:type="spellStart"/>
      <w:r w:rsidRPr="00482689">
        <w:rPr>
          <w:rFonts w:eastAsia="Times New Roman" w:cs="Times New Roman"/>
          <w:szCs w:val="24"/>
        </w:rPr>
        <w:t>dim_alerts_key</w:t>
      </w:r>
      <w:proofErr w:type="spellEnd"/>
      <w:r w:rsidRPr="00482689">
        <w:rPr>
          <w:rFonts w:eastAsia="Times New Roman" w:cs="Times New Roman"/>
          <w:szCs w:val="24"/>
        </w:rPr>
        <w:t>.”</w:t>
      </w:r>
    </w:p>
    <w:p w14:paraId="37569A11" w14:textId="61EEC98F" w:rsidR="00482689" w:rsidRPr="00482689" w:rsidRDefault="00482689" w:rsidP="00482689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eastAsia="Times New Roman" w:cs="Times New Roman"/>
          <w:szCs w:val="24"/>
        </w:rPr>
      </w:pPr>
      <w:r w:rsidRPr="00482689">
        <w:rPr>
          <w:rFonts w:eastAsia="Times New Roman" w:cs="Times New Roman"/>
          <w:szCs w:val="24"/>
        </w:rPr>
        <w:t>System-generated or technical metadata columns must start with the prefix “</w:t>
      </w:r>
      <w:proofErr w:type="spellStart"/>
      <w:r w:rsidRPr="00482689">
        <w:rPr>
          <w:rFonts w:eastAsia="Times New Roman" w:cs="Times New Roman"/>
          <w:szCs w:val="24"/>
        </w:rPr>
        <w:t>dwh</w:t>
      </w:r>
      <w:proofErr w:type="spellEnd"/>
      <w:r w:rsidRPr="00482689">
        <w:rPr>
          <w:rFonts w:eastAsia="Times New Roman" w:cs="Times New Roman"/>
          <w:szCs w:val="24"/>
        </w:rPr>
        <w:t>_,” followed by a descriptive term that explains the column’s function.</w:t>
      </w:r>
      <w:r w:rsidRPr="00482689">
        <w:rPr>
          <w:rFonts w:eastAsia="Times New Roman" w:cs="Times New Roman"/>
          <w:szCs w:val="24"/>
        </w:rPr>
        <w:br/>
        <w:t>Examples: “</w:t>
      </w:r>
      <w:proofErr w:type="spellStart"/>
      <w:r w:rsidRPr="00482689">
        <w:rPr>
          <w:rFonts w:eastAsia="Times New Roman" w:cs="Times New Roman"/>
          <w:szCs w:val="24"/>
        </w:rPr>
        <w:t>dwh_created_at</w:t>
      </w:r>
      <w:proofErr w:type="spellEnd"/>
      <w:r w:rsidRPr="00482689">
        <w:rPr>
          <w:rFonts w:eastAsia="Times New Roman" w:cs="Times New Roman"/>
          <w:szCs w:val="24"/>
        </w:rPr>
        <w:t>,” “</w:t>
      </w:r>
      <w:proofErr w:type="spellStart"/>
      <w:r w:rsidRPr="00482689">
        <w:rPr>
          <w:rFonts w:eastAsia="Times New Roman" w:cs="Times New Roman"/>
          <w:szCs w:val="24"/>
        </w:rPr>
        <w:t>dwh_last_updated</w:t>
      </w:r>
      <w:proofErr w:type="spellEnd"/>
      <w:r w:rsidRPr="00482689">
        <w:rPr>
          <w:rFonts w:eastAsia="Times New Roman" w:cs="Times New Roman"/>
          <w:szCs w:val="24"/>
        </w:rPr>
        <w:t>.”</w:t>
      </w:r>
    </w:p>
    <w:p w14:paraId="106147AF" w14:textId="77777777" w:rsidR="00482689" w:rsidRPr="00482689" w:rsidRDefault="00482689" w:rsidP="00482689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sz w:val="27"/>
          <w:szCs w:val="27"/>
        </w:rPr>
      </w:pPr>
      <w:r w:rsidRPr="00482689">
        <w:rPr>
          <w:rFonts w:eastAsia="Times New Roman" w:cs="Times New Roman"/>
          <w:b/>
          <w:bCs/>
          <w:sz w:val="27"/>
          <w:szCs w:val="27"/>
        </w:rPr>
        <w:lastRenderedPageBreak/>
        <w:t>Stored Procedure Naming</w:t>
      </w:r>
    </w:p>
    <w:p w14:paraId="7F07BF51" w14:textId="77777777" w:rsidR="00482689" w:rsidRPr="00482689" w:rsidRDefault="00482689" w:rsidP="00482689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eastAsia="Times New Roman" w:cs="Times New Roman"/>
          <w:szCs w:val="24"/>
        </w:rPr>
      </w:pPr>
      <w:r w:rsidRPr="00482689">
        <w:rPr>
          <w:rFonts w:eastAsia="Times New Roman" w:cs="Times New Roman"/>
          <w:szCs w:val="24"/>
        </w:rPr>
        <w:t>ETL stored procedures must indicate which data layer they load into.</w:t>
      </w:r>
    </w:p>
    <w:p w14:paraId="67436FD9" w14:textId="77777777" w:rsidR="00482689" w:rsidRPr="00482689" w:rsidRDefault="00482689" w:rsidP="00482689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eastAsia="Times New Roman" w:cs="Times New Roman"/>
          <w:szCs w:val="24"/>
        </w:rPr>
      </w:pPr>
      <w:r w:rsidRPr="00482689">
        <w:rPr>
          <w:rFonts w:eastAsia="Times New Roman" w:cs="Times New Roman"/>
          <w:szCs w:val="24"/>
        </w:rPr>
        <w:t>Use a consistent naming format that clearly shows the data source and target layer.</w:t>
      </w:r>
    </w:p>
    <w:p w14:paraId="2126C78D" w14:textId="77777777" w:rsidR="00482689" w:rsidRPr="00482689" w:rsidRDefault="00482689" w:rsidP="00482689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eastAsia="Times New Roman" w:cs="Times New Roman"/>
          <w:szCs w:val="24"/>
        </w:rPr>
      </w:pPr>
      <w:r w:rsidRPr="00482689">
        <w:rPr>
          <w:rFonts w:eastAsia="Times New Roman" w:cs="Times New Roman"/>
          <w:szCs w:val="24"/>
        </w:rPr>
        <w:t>Examples: “</w:t>
      </w:r>
      <w:proofErr w:type="spellStart"/>
      <w:r w:rsidRPr="00482689">
        <w:rPr>
          <w:rFonts w:eastAsia="Times New Roman" w:cs="Times New Roman"/>
          <w:szCs w:val="24"/>
        </w:rPr>
        <w:t>load_noaa_staging</w:t>
      </w:r>
      <w:proofErr w:type="spellEnd"/>
      <w:r w:rsidRPr="00482689">
        <w:rPr>
          <w:rFonts w:eastAsia="Times New Roman" w:cs="Times New Roman"/>
          <w:szCs w:val="24"/>
        </w:rPr>
        <w:t>,” “</w:t>
      </w:r>
      <w:proofErr w:type="spellStart"/>
      <w:r w:rsidRPr="00482689">
        <w:rPr>
          <w:rFonts w:eastAsia="Times New Roman" w:cs="Times New Roman"/>
          <w:szCs w:val="24"/>
        </w:rPr>
        <w:t>load_openweather_silver</w:t>
      </w:r>
      <w:proofErr w:type="spellEnd"/>
      <w:r w:rsidRPr="00482689">
        <w:rPr>
          <w:rFonts w:eastAsia="Times New Roman" w:cs="Times New Roman"/>
          <w:szCs w:val="24"/>
        </w:rPr>
        <w:t>.”</w:t>
      </w:r>
    </w:p>
    <w:p w14:paraId="4FAD8FD7" w14:textId="7FD2050A" w:rsidR="00482689" w:rsidRPr="00482689" w:rsidRDefault="00482689" w:rsidP="00482689"/>
    <w:sectPr w:rsidR="00482689" w:rsidRPr="0048268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616B73"/>
    <w:multiLevelType w:val="multilevel"/>
    <w:tmpl w:val="DEB8D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A876CC4"/>
    <w:multiLevelType w:val="multilevel"/>
    <w:tmpl w:val="C87861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13475AD"/>
    <w:multiLevelType w:val="hybridMultilevel"/>
    <w:tmpl w:val="D4987DA8"/>
    <w:lvl w:ilvl="0" w:tplc="FFFFFFFF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7785304"/>
    <w:multiLevelType w:val="multilevel"/>
    <w:tmpl w:val="E8FCAA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305751D"/>
    <w:multiLevelType w:val="multilevel"/>
    <w:tmpl w:val="358468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7414FFE"/>
    <w:multiLevelType w:val="multilevel"/>
    <w:tmpl w:val="0E180F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7622BAF"/>
    <w:multiLevelType w:val="multilevel"/>
    <w:tmpl w:val="3F004A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8D71319"/>
    <w:multiLevelType w:val="hybridMultilevel"/>
    <w:tmpl w:val="D4987DA8"/>
    <w:lvl w:ilvl="0" w:tplc="19286190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26313255">
    <w:abstractNumId w:val="7"/>
  </w:num>
  <w:num w:numId="2" w16cid:durableId="1249847349">
    <w:abstractNumId w:val="2"/>
  </w:num>
  <w:num w:numId="3" w16cid:durableId="1857692408">
    <w:abstractNumId w:val="0"/>
  </w:num>
  <w:num w:numId="4" w16cid:durableId="249319462">
    <w:abstractNumId w:val="6"/>
  </w:num>
  <w:num w:numId="5" w16cid:durableId="2094160412">
    <w:abstractNumId w:val="1"/>
  </w:num>
  <w:num w:numId="6" w16cid:durableId="931595882">
    <w:abstractNumId w:val="3"/>
  </w:num>
  <w:num w:numId="7" w16cid:durableId="477842334">
    <w:abstractNumId w:val="5"/>
  </w:num>
  <w:num w:numId="8" w16cid:durableId="152844592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16628"/>
    <w:rsid w:val="00023F1F"/>
    <w:rsid w:val="0038621C"/>
    <w:rsid w:val="00482689"/>
    <w:rsid w:val="00516628"/>
    <w:rsid w:val="00A2586B"/>
    <w:rsid w:val="00B71B6B"/>
    <w:rsid w:val="00C31D77"/>
    <w:rsid w:val="00E07CF8"/>
    <w:rsid w:val="00E22A16"/>
    <w:rsid w:val="00F70C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EC0FB2E"/>
  <w15:chartTrackingRefBased/>
  <w15:docId w15:val="{D40E1B96-BF38-4451-91B4-B2B35A31521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70C51"/>
    <w:rPr>
      <w:rFonts w:ascii="Times New Roman" w:hAnsi="Times New Roman"/>
      <w:kern w:val="0"/>
      <w:sz w:val="24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51662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1662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16628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16628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16628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16628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16628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16628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16628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16628"/>
    <w:rPr>
      <w:rFonts w:asciiTheme="majorHAnsi" w:eastAsiaTheme="majorEastAsia" w:hAnsiTheme="majorHAnsi" w:cstheme="majorBidi"/>
      <w:color w:val="0F4761" w:themeColor="accent1" w:themeShade="BF"/>
      <w:kern w:val="0"/>
      <w:sz w:val="40"/>
      <w:szCs w:val="40"/>
      <w14:ligatures w14:val="none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16628"/>
    <w:rPr>
      <w:rFonts w:asciiTheme="majorHAnsi" w:eastAsiaTheme="majorEastAsia" w:hAnsiTheme="majorHAnsi" w:cstheme="majorBidi"/>
      <w:color w:val="0F4761" w:themeColor="accent1" w:themeShade="BF"/>
      <w:kern w:val="0"/>
      <w:sz w:val="32"/>
      <w:szCs w:val="32"/>
      <w14:ligatures w14:val="none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16628"/>
    <w:rPr>
      <w:rFonts w:eastAsiaTheme="majorEastAsia" w:cstheme="majorBidi"/>
      <w:color w:val="0F4761" w:themeColor="accent1" w:themeShade="BF"/>
      <w:kern w:val="0"/>
      <w:sz w:val="28"/>
      <w:szCs w:val="28"/>
      <w14:ligatures w14:val="none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16628"/>
    <w:rPr>
      <w:rFonts w:eastAsiaTheme="majorEastAsia" w:cstheme="majorBidi"/>
      <w:i/>
      <w:iCs/>
      <w:color w:val="0F4761" w:themeColor="accent1" w:themeShade="BF"/>
      <w:kern w:val="0"/>
      <w:sz w:val="24"/>
      <w14:ligatures w14:val="none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16628"/>
    <w:rPr>
      <w:rFonts w:eastAsiaTheme="majorEastAsia" w:cstheme="majorBidi"/>
      <w:color w:val="0F4761" w:themeColor="accent1" w:themeShade="BF"/>
      <w:kern w:val="0"/>
      <w:sz w:val="24"/>
      <w14:ligatures w14:val="none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16628"/>
    <w:rPr>
      <w:rFonts w:eastAsiaTheme="majorEastAsia" w:cstheme="majorBidi"/>
      <w:i/>
      <w:iCs/>
      <w:color w:val="595959" w:themeColor="text1" w:themeTint="A6"/>
      <w:kern w:val="0"/>
      <w:sz w:val="24"/>
      <w14:ligatures w14:val="none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16628"/>
    <w:rPr>
      <w:rFonts w:eastAsiaTheme="majorEastAsia" w:cstheme="majorBidi"/>
      <w:color w:val="595959" w:themeColor="text1" w:themeTint="A6"/>
      <w:kern w:val="0"/>
      <w:sz w:val="24"/>
      <w14:ligatures w14:val="none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16628"/>
    <w:rPr>
      <w:rFonts w:eastAsiaTheme="majorEastAsia" w:cstheme="majorBidi"/>
      <w:i/>
      <w:iCs/>
      <w:color w:val="272727" w:themeColor="text1" w:themeTint="D8"/>
      <w:kern w:val="0"/>
      <w:sz w:val="24"/>
      <w14:ligatures w14:val="none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16628"/>
    <w:rPr>
      <w:rFonts w:eastAsiaTheme="majorEastAsia" w:cstheme="majorBidi"/>
      <w:color w:val="272727" w:themeColor="text1" w:themeTint="D8"/>
      <w:kern w:val="0"/>
      <w:sz w:val="24"/>
      <w14:ligatures w14:val="none"/>
    </w:rPr>
  </w:style>
  <w:style w:type="paragraph" w:styleId="Title">
    <w:name w:val="Title"/>
    <w:basedOn w:val="Normal"/>
    <w:next w:val="Normal"/>
    <w:link w:val="TitleChar"/>
    <w:uiPriority w:val="10"/>
    <w:qFormat/>
    <w:rsid w:val="0051662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16628"/>
    <w:rPr>
      <w:rFonts w:asciiTheme="majorHAnsi" w:eastAsiaTheme="majorEastAsia" w:hAnsiTheme="majorHAnsi" w:cstheme="majorBidi"/>
      <w:spacing w:val="-10"/>
      <w:kern w:val="28"/>
      <w:sz w:val="56"/>
      <w:szCs w:val="56"/>
      <w14:ligatures w14:val="none"/>
    </w:rPr>
  </w:style>
  <w:style w:type="paragraph" w:styleId="Subtitle">
    <w:name w:val="Subtitle"/>
    <w:basedOn w:val="Normal"/>
    <w:next w:val="Normal"/>
    <w:link w:val="SubtitleChar"/>
    <w:uiPriority w:val="11"/>
    <w:qFormat/>
    <w:rsid w:val="00516628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16628"/>
    <w:rPr>
      <w:rFonts w:eastAsiaTheme="majorEastAsia" w:cstheme="majorBidi"/>
      <w:color w:val="595959" w:themeColor="text1" w:themeTint="A6"/>
      <w:spacing w:val="15"/>
      <w:kern w:val="0"/>
      <w:sz w:val="28"/>
      <w:szCs w:val="28"/>
      <w14:ligatures w14:val="none"/>
    </w:rPr>
  </w:style>
  <w:style w:type="paragraph" w:styleId="Quote">
    <w:name w:val="Quote"/>
    <w:basedOn w:val="Normal"/>
    <w:next w:val="Normal"/>
    <w:link w:val="QuoteChar"/>
    <w:uiPriority w:val="29"/>
    <w:qFormat/>
    <w:rsid w:val="0051662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16628"/>
    <w:rPr>
      <w:rFonts w:ascii="Times New Roman" w:hAnsi="Times New Roman"/>
      <w:i/>
      <w:iCs/>
      <w:color w:val="404040" w:themeColor="text1" w:themeTint="BF"/>
      <w:kern w:val="0"/>
      <w:sz w:val="24"/>
      <w14:ligatures w14:val="none"/>
    </w:rPr>
  </w:style>
  <w:style w:type="paragraph" w:styleId="ListParagraph">
    <w:name w:val="List Paragraph"/>
    <w:basedOn w:val="Normal"/>
    <w:uiPriority w:val="34"/>
    <w:qFormat/>
    <w:rsid w:val="0051662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1662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1662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16628"/>
    <w:rPr>
      <w:rFonts w:ascii="Times New Roman" w:hAnsi="Times New Roman"/>
      <w:i/>
      <w:iCs/>
      <w:color w:val="0F4761" w:themeColor="accent1" w:themeShade="BF"/>
      <w:kern w:val="0"/>
      <w:sz w:val="24"/>
      <w14:ligatures w14:val="none"/>
    </w:rPr>
  </w:style>
  <w:style w:type="character" w:styleId="IntenseReference">
    <w:name w:val="Intense Reference"/>
    <w:basedOn w:val="DefaultParagraphFont"/>
    <w:uiPriority w:val="32"/>
    <w:qFormat/>
    <w:rsid w:val="0051662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28</TotalTime>
  <Pages>2</Pages>
  <Words>269</Words>
  <Characters>1674</Characters>
  <Application>Microsoft Office Word</Application>
  <DocSecurity>0</DocSecurity>
  <Lines>37</Lines>
  <Paragraphs>28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Tavish King</dc:creator>
  <cp:keywords/>
  <dc:description/>
  <cp:lastModifiedBy>Tavish King</cp:lastModifiedBy>
  <cp:revision>3</cp:revision>
  <dcterms:created xsi:type="dcterms:W3CDTF">2025-11-07T01:30:00Z</dcterms:created>
  <dcterms:modified xsi:type="dcterms:W3CDTF">2025-11-08T17:18:00Z</dcterms:modified>
</cp:coreProperties>
</file>