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2408" w14:textId="77777777" w:rsidR="00482689" w:rsidRPr="00482689" w:rsidRDefault="00482689" w:rsidP="0048268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82689">
        <w:rPr>
          <w:rFonts w:eastAsia="Times New Roman" w:cs="Times New Roman"/>
          <w:b/>
          <w:bCs/>
          <w:sz w:val="36"/>
          <w:szCs w:val="36"/>
        </w:rPr>
        <w:t>Naming Conventions</w:t>
      </w:r>
    </w:p>
    <w:p w14:paraId="5A6E1594" w14:textId="77777777" w:rsidR="00482689" w:rsidRPr="00482689" w:rsidRDefault="00482689" w:rsidP="0048268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82689">
        <w:rPr>
          <w:rFonts w:eastAsia="Times New Roman" w:cs="Times New Roman"/>
          <w:b/>
          <w:bCs/>
          <w:sz w:val="27"/>
          <w:szCs w:val="27"/>
        </w:rPr>
        <w:t>General Principles</w:t>
      </w:r>
    </w:p>
    <w:p w14:paraId="4C3EC454" w14:textId="77777777" w:rsidR="00482689" w:rsidRPr="00482689" w:rsidRDefault="00482689" w:rsidP="00482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 xml:space="preserve">Use </w:t>
      </w:r>
      <w:proofErr w:type="spellStart"/>
      <w:r w:rsidRPr="00482689">
        <w:rPr>
          <w:rFonts w:eastAsia="Times New Roman" w:cs="Times New Roman"/>
          <w:szCs w:val="24"/>
        </w:rPr>
        <w:t>snake_case</w:t>
      </w:r>
      <w:proofErr w:type="spellEnd"/>
      <w:r w:rsidRPr="00482689">
        <w:rPr>
          <w:rFonts w:eastAsia="Times New Roman" w:cs="Times New Roman"/>
          <w:szCs w:val="24"/>
        </w:rPr>
        <w:t xml:space="preserve"> for all object names.</w:t>
      </w:r>
    </w:p>
    <w:p w14:paraId="1EFEA422" w14:textId="77777777" w:rsidR="00482689" w:rsidRPr="00482689" w:rsidRDefault="00482689" w:rsidP="00482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Use clear, descriptive English names.</w:t>
      </w:r>
    </w:p>
    <w:p w14:paraId="472C89A7" w14:textId="16FF06AD" w:rsidR="00482689" w:rsidRPr="00482689" w:rsidRDefault="00482689" w:rsidP="00482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Avoid using SQL reserved words for object names such as tables, columns, or procedures.</w:t>
      </w:r>
    </w:p>
    <w:p w14:paraId="12A998C6" w14:textId="77777777" w:rsidR="00482689" w:rsidRPr="00482689" w:rsidRDefault="00482689" w:rsidP="0048268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82689">
        <w:rPr>
          <w:rFonts w:eastAsia="Times New Roman" w:cs="Times New Roman"/>
          <w:b/>
          <w:bCs/>
          <w:sz w:val="27"/>
          <w:szCs w:val="27"/>
        </w:rPr>
        <w:t>Table Naming Conventions</w:t>
      </w:r>
    </w:p>
    <w:p w14:paraId="0F5693E3" w14:textId="77777777" w:rsidR="00482689" w:rsidRPr="00482689" w:rsidRDefault="00482689" w:rsidP="0048268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b/>
          <w:bCs/>
          <w:szCs w:val="24"/>
        </w:rPr>
        <w:t>Staging Layer</w:t>
      </w:r>
    </w:p>
    <w:p w14:paraId="07742889" w14:textId="77777777" w:rsidR="00482689" w:rsidRPr="00482689" w:rsidRDefault="00482689" w:rsidP="00482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All table names must start with the data source name and match the original names from the source system.</w:t>
      </w:r>
    </w:p>
    <w:p w14:paraId="0E43C4AC" w14:textId="77777777" w:rsidR="00482689" w:rsidRPr="00482689" w:rsidRDefault="00482689" w:rsidP="00482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Structure: data source name followed by the entity name.</w:t>
      </w:r>
    </w:p>
    <w:p w14:paraId="58DCB71A" w14:textId="77777777" w:rsidR="00482689" w:rsidRPr="00482689" w:rsidRDefault="00482689" w:rsidP="00482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The purpose is to preserve the raw structure for traceability and easy debugging.</w:t>
      </w:r>
    </w:p>
    <w:p w14:paraId="26693843" w14:textId="77777777" w:rsidR="00482689" w:rsidRPr="00482689" w:rsidRDefault="00482689" w:rsidP="00482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Example: “</w:t>
      </w:r>
      <w:proofErr w:type="spellStart"/>
      <w:r w:rsidRPr="00482689">
        <w:rPr>
          <w:rFonts w:eastAsia="Times New Roman" w:cs="Times New Roman"/>
          <w:szCs w:val="24"/>
        </w:rPr>
        <w:t>noaa_alerts</w:t>
      </w:r>
      <w:proofErr w:type="spellEnd"/>
      <w:r w:rsidRPr="00482689">
        <w:rPr>
          <w:rFonts w:eastAsia="Times New Roman" w:cs="Times New Roman"/>
          <w:szCs w:val="24"/>
        </w:rPr>
        <w:t>” represents weather alerts from the NOAA API.</w:t>
      </w:r>
    </w:p>
    <w:p w14:paraId="2DA037AF" w14:textId="77777777" w:rsidR="00482689" w:rsidRPr="00482689" w:rsidRDefault="00482689" w:rsidP="0048268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b/>
          <w:bCs/>
          <w:szCs w:val="24"/>
        </w:rPr>
        <w:t>Silver Layer</w:t>
      </w:r>
    </w:p>
    <w:p w14:paraId="76850A24" w14:textId="77777777" w:rsidR="00482689" w:rsidRPr="00482689" w:rsidRDefault="00482689" w:rsidP="00482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All table names must start with the data source name and represent cleaned, standardized versions of the staging tables.</w:t>
      </w:r>
    </w:p>
    <w:p w14:paraId="68E2F18D" w14:textId="77777777" w:rsidR="00482689" w:rsidRPr="00482689" w:rsidRDefault="00482689" w:rsidP="00482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Structure: data source name followed by the entity name.</w:t>
      </w:r>
    </w:p>
    <w:p w14:paraId="65598C68" w14:textId="77777777" w:rsidR="00482689" w:rsidRPr="00482689" w:rsidRDefault="00482689" w:rsidP="00482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The purpose is to reflect standardized and validated data derived from the staging layer.</w:t>
      </w:r>
    </w:p>
    <w:p w14:paraId="376C57FC" w14:textId="77777777" w:rsidR="00482689" w:rsidRPr="00482689" w:rsidRDefault="00482689" w:rsidP="00482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Example: “</w:t>
      </w:r>
      <w:proofErr w:type="spellStart"/>
      <w:r w:rsidRPr="00482689">
        <w:rPr>
          <w:rFonts w:eastAsia="Times New Roman" w:cs="Times New Roman"/>
          <w:szCs w:val="24"/>
        </w:rPr>
        <w:t>openweather_conditions</w:t>
      </w:r>
      <w:proofErr w:type="spellEnd"/>
      <w:r w:rsidRPr="00482689">
        <w:rPr>
          <w:rFonts w:eastAsia="Times New Roman" w:cs="Times New Roman"/>
          <w:szCs w:val="24"/>
        </w:rPr>
        <w:t>” represents cleaned weather condition data from OpenWeather.</w:t>
      </w:r>
    </w:p>
    <w:p w14:paraId="52782F18" w14:textId="77777777" w:rsidR="00482689" w:rsidRPr="00482689" w:rsidRDefault="00482689" w:rsidP="0048268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b/>
          <w:bCs/>
          <w:szCs w:val="24"/>
        </w:rPr>
        <w:t>Gold Layer</w:t>
      </w:r>
    </w:p>
    <w:p w14:paraId="67B38FAC" w14:textId="77777777" w:rsidR="00482689" w:rsidRPr="00482689" w:rsidRDefault="00482689" w:rsidP="00482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Table names should be business-oriented and start with a category prefix such as “dim” for dimension tables or “fact” for fact tables.</w:t>
      </w:r>
    </w:p>
    <w:p w14:paraId="6E9B9F29" w14:textId="77777777" w:rsidR="00482689" w:rsidRPr="00482689" w:rsidRDefault="00482689" w:rsidP="00482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Structure: category prefix followed by a descriptive entity name.</w:t>
      </w:r>
    </w:p>
    <w:p w14:paraId="6335D464" w14:textId="77777777" w:rsidR="00482689" w:rsidRPr="00482689" w:rsidRDefault="00482689" w:rsidP="00482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The purpose is to align tables with business terminology for reporting and analytics.</w:t>
      </w:r>
    </w:p>
    <w:p w14:paraId="64D27442" w14:textId="0B02DA8E" w:rsidR="00482689" w:rsidRPr="00482689" w:rsidRDefault="00482689" w:rsidP="00482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Example: “</w:t>
      </w:r>
      <w:proofErr w:type="spellStart"/>
      <w:r w:rsidRPr="00482689">
        <w:rPr>
          <w:rFonts w:eastAsia="Times New Roman" w:cs="Times New Roman"/>
          <w:szCs w:val="24"/>
        </w:rPr>
        <w:t>dim_alerts</w:t>
      </w:r>
      <w:proofErr w:type="spellEnd"/>
      <w:r w:rsidRPr="00482689">
        <w:rPr>
          <w:rFonts w:eastAsia="Times New Roman" w:cs="Times New Roman"/>
          <w:szCs w:val="24"/>
        </w:rPr>
        <w:t>” stores descriptive information about alert categories, while “</w:t>
      </w:r>
      <w:proofErr w:type="spellStart"/>
      <w:r w:rsidRPr="00482689">
        <w:rPr>
          <w:rFonts w:eastAsia="Times New Roman" w:cs="Times New Roman"/>
          <w:szCs w:val="24"/>
        </w:rPr>
        <w:t>fact_conditions</w:t>
      </w:r>
      <w:proofErr w:type="spellEnd"/>
      <w:r w:rsidRPr="00482689">
        <w:rPr>
          <w:rFonts w:eastAsia="Times New Roman" w:cs="Times New Roman"/>
          <w:szCs w:val="24"/>
        </w:rPr>
        <w:t>” stores daily condition facts.</w:t>
      </w:r>
    </w:p>
    <w:p w14:paraId="78C2E6C2" w14:textId="77777777" w:rsidR="00482689" w:rsidRPr="00482689" w:rsidRDefault="00482689" w:rsidP="0048268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82689">
        <w:rPr>
          <w:rFonts w:eastAsia="Times New Roman" w:cs="Times New Roman"/>
          <w:b/>
          <w:bCs/>
          <w:sz w:val="27"/>
          <w:szCs w:val="27"/>
        </w:rPr>
        <w:t>Column Naming Conventions</w:t>
      </w:r>
    </w:p>
    <w:p w14:paraId="681B980F" w14:textId="77777777" w:rsidR="00482689" w:rsidRPr="00482689" w:rsidRDefault="00482689" w:rsidP="00482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Primary key columns in dimension tables must end with the suffix “_key.”</w:t>
      </w:r>
      <w:r w:rsidRPr="00482689">
        <w:rPr>
          <w:rFonts w:eastAsia="Times New Roman" w:cs="Times New Roman"/>
          <w:szCs w:val="24"/>
        </w:rPr>
        <w:br/>
        <w:t>Example: “</w:t>
      </w:r>
      <w:proofErr w:type="spellStart"/>
      <w:r w:rsidRPr="00482689">
        <w:rPr>
          <w:rFonts w:eastAsia="Times New Roman" w:cs="Times New Roman"/>
          <w:szCs w:val="24"/>
        </w:rPr>
        <w:t>dim_alerts_key</w:t>
      </w:r>
      <w:proofErr w:type="spellEnd"/>
      <w:r w:rsidRPr="00482689">
        <w:rPr>
          <w:rFonts w:eastAsia="Times New Roman" w:cs="Times New Roman"/>
          <w:szCs w:val="24"/>
        </w:rPr>
        <w:t>.”</w:t>
      </w:r>
    </w:p>
    <w:p w14:paraId="37569A11" w14:textId="61EEC98F" w:rsidR="00482689" w:rsidRPr="00482689" w:rsidRDefault="00482689" w:rsidP="00482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lastRenderedPageBreak/>
        <w:t>System-generated or technical metadata columns must start with the prefix “</w:t>
      </w:r>
      <w:proofErr w:type="spellStart"/>
      <w:r w:rsidRPr="00482689">
        <w:rPr>
          <w:rFonts w:eastAsia="Times New Roman" w:cs="Times New Roman"/>
          <w:szCs w:val="24"/>
        </w:rPr>
        <w:t>dwh</w:t>
      </w:r>
      <w:proofErr w:type="spellEnd"/>
      <w:r w:rsidRPr="00482689">
        <w:rPr>
          <w:rFonts w:eastAsia="Times New Roman" w:cs="Times New Roman"/>
          <w:szCs w:val="24"/>
        </w:rPr>
        <w:t>_,” followed by a descriptive term that explains the column’s function.</w:t>
      </w:r>
      <w:r w:rsidRPr="00482689">
        <w:rPr>
          <w:rFonts w:eastAsia="Times New Roman" w:cs="Times New Roman"/>
          <w:szCs w:val="24"/>
        </w:rPr>
        <w:br/>
        <w:t>Examples: “</w:t>
      </w:r>
      <w:proofErr w:type="spellStart"/>
      <w:r w:rsidRPr="00482689">
        <w:rPr>
          <w:rFonts w:eastAsia="Times New Roman" w:cs="Times New Roman"/>
          <w:szCs w:val="24"/>
        </w:rPr>
        <w:t>dwh_created_at</w:t>
      </w:r>
      <w:proofErr w:type="spellEnd"/>
      <w:r w:rsidRPr="00482689">
        <w:rPr>
          <w:rFonts w:eastAsia="Times New Roman" w:cs="Times New Roman"/>
          <w:szCs w:val="24"/>
        </w:rPr>
        <w:t>,” “</w:t>
      </w:r>
      <w:proofErr w:type="spellStart"/>
      <w:r w:rsidRPr="00482689">
        <w:rPr>
          <w:rFonts w:eastAsia="Times New Roman" w:cs="Times New Roman"/>
          <w:szCs w:val="24"/>
        </w:rPr>
        <w:t>dwh_last_updated</w:t>
      </w:r>
      <w:proofErr w:type="spellEnd"/>
      <w:r w:rsidRPr="00482689">
        <w:rPr>
          <w:rFonts w:eastAsia="Times New Roman" w:cs="Times New Roman"/>
          <w:szCs w:val="24"/>
        </w:rPr>
        <w:t>.”</w:t>
      </w:r>
    </w:p>
    <w:p w14:paraId="106147AF" w14:textId="77777777" w:rsidR="00482689" w:rsidRPr="00482689" w:rsidRDefault="00482689" w:rsidP="0048268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82689">
        <w:rPr>
          <w:rFonts w:eastAsia="Times New Roman" w:cs="Times New Roman"/>
          <w:b/>
          <w:bCs/>
          <w:sz w:val="27"/>
          <w:szCs w:val="27"/>
        </w:rPr>
        <w:t>Stored Procedure Naming</w:t>
      </w:r>
    </w:p>
    <w:p w14:paraId="7F07BF51" w14:textId="77777777" w:rsidR="00482689" w:rsidRPr="00482689" w:rsidRDefault="00482689" w:rsidP="00482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ETL stored procedures must indicate which data layer they load into.</w:t>
      </w:r>
    </w:p>
    <w:p w14:paraId="67436FD9" w14:textId="77777777" w:rsidR="00482689" w:rsidRPr="00482689" w:rsidRDefault="00482689" w:rsidP="00482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Use a consistent naming format that clearly shows the data source and target layer.</w:t>
      </w:r>
    </w:p>
    <w:p w14:paraId="2126C78D" w14:textId="77777777" w:rsidR="00482689" w:rsidRPr="00482689" w:rsidRDefault="00482689" w:rsidP="00482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82689">
        <w:rPr>
          <w:rFonts w:eastAsia="Times New Roman" w:cs="Times New Roman"/>
          <w:szCs w:val="24"/>
        </w:rPr>
        <w:t>Examples: “</w:t>
      </w:r>
      <w:proofErr w:type="spellStart"/>
      <w:r w:rsidRPr="00482689">
        <w:rPr>
          <w:rFonts w:eastAsia="Times New Roman" w:cs="Times New Roman"/>
          <w:szCs w:val="24"/>
        </w:rPr>
        <w:t>load_noaa_staging</w:t>
      </w:r>
      <w:proofErr w:type="spellEnd"/>
      <w:r w:rsidRPr="00482689">
        <w:rPr>
          <w:rFonts w:eastAsia="Times New Roman" w:cs="Times New Roman"/>
          <w:szCs w:val="24"/>
        </w:rPr>
        <w:t>,” “</w:t>
      </w:r>
      <w:proofErr w:type="spellStart"/>
      <w:r w:rsidRPr="00482689">
        <w:rPr>
          <w:rFonts w:eastAsia="Times New Roman" w:cs="Times New Roman"/>
          <w:szCs w:val="24"/>
        </w:rPr>
        <w:t>load_openweather_silver</w:t>
      </w:r>
      <w:proofErr w:type="spellEnd"/>
      <w:r w:rsidRPr="00482689">
        <w:rPr>
          <w:rFonts w:eastAsia="Times New Roman" w:cs="Times New Roman"/>
          <w:szCs w:val="24"/>
        </w:rPr>
        <w:t>.”</w:t>
      </w:r>
    </w:p>
    <w:p w14:paraId="4FAD8FD7" w14:textId="7FD2050A" w:rsidR="00482689" w:rsidRPr="00482689" w:rsidRDefault="00482689" w:rsidP="00482689"/>
    <w:sectPr w:rsidR="00482689" w:rsidRPr="00482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6B73"/>
    <w:multiLevelType w:val="multilevel"/>
    <w:tmpl w:val="DEB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76CC4"/>
    <w:multiLevelType w:val="multilevel"/>
    <w:tmpl w:val="C87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475AD"/>
    <w:multiLevelType w:val="hybridMultilevel"/>
    <w:tmpl w:val="D4987DA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85304"/>
    <w:multiLevelType w:val="multilevel"/>
    <w:tmpl w:val="E8F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5751D"/>
    <w:multiLevelType w:val="multilevel"/>
    <w:tmpl w:val="358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14FFE"/>
    <w:multiLevelType w:val="multilevel"/>
    <w:tmpl w:val="0E18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22BAF"/>
    <w:multiLevelType w:val="multilevel"/>
    <w:tmpl w:val="3F0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71319"/>
    <w:multiLevelType w:val="hybridMultilevel"/>
    <w:tmpl w:val="D4987DA8"/>
    <w:lvl w:ilvl="0" w:tplc="192861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313255">
    <w:abstractNumId w:val="7"/>
  </w:num>
  <w:num w:numId="2" w16cid:durableId="1249847349">
    <w:abstractNumId w:val="2"/>
  </w:num>
  <w:num w:numId="3" w16cid:durableId="1857692408">
    <w:abstractNumId w:val="0"/>
  </w:num>
  <w:num w:numId="4" w16cid:durableId="249319462">
    <w:abstractNumId w:val="6"/>
  </w:num>
  <w:num w:numId="5" w16cid:durableId="2094160412">
    <w:abstractNumId w:val="1"/>
  </w:num>
  <w:num w:numId="6" w16cid:durableId="931595882">
    <w:abstractNumId w:val="3"/>
  </w:num>
  <w:num w:numId="7" w16cid:durableId="477842334">
    <w:abstractNumId w:val="5"/>
  </w:num>
  <w:num w:numId="8" w16cid:durableId="152844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28"/>
    <w:rsid w:val="00023F1F"/>
    <w:rsid w:val="0038621C"/>
    <w:rsid w:val="00482689"/>
    <w:rsid w:val="00516628"/>
    <w:rsid w:val="00A2586B"/>
    <w:rsid w:val="00B71B6B"/>
    <w:rsid w:val="00E07CF8"/>
    <w:rsid w:val="00F7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FB2E"/>
  <w15:chartTrackingRefBased/>
  <w15:docId w15:val="{D40E1B96-BF38-4451-91B4-B2B35A31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C51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6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6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6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6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6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6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6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2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62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62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628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628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628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628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628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628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1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62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6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62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1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628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516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628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16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239</Words>
  <Characters>1678</Characters>
  <Application>Microsoft Office Word</Application>
  <DocSecurity>0</DocSecurity>
  <Lines>104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Tavish King</dc:creator>
  <cp:keywords/>
  <dc:description/>
  <cp:lastModifiedBy>Tavish King</cp:lastModifiedBy>
  <cp:revision>1</cp:revision>
  <dcterms:created xsi:type="dcterms:W3CDTF">2025-11-07T01:30:00Z</dcterms:created>
  <dcterms:modified xsi:type="dcterms:W3CDTF">2025-11-07T01:58:00Z</dcterms:modified>
</cp:coreProperties>
</file>