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b/>
          <w:sz w:val="44"/>
        </w:rPr>
        <w:t>AI财务审计分析平台 MVP 产品需求说明书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2"/>
        </w:rPr>
        <w:t>本地优先 多模型 API 低负载实施版</w:t>
      </w:r>
    </w:p>
    <w:p>
      <w:pPr>
        <w:spacing w:after="280"/>
      </w:pPr>
      <w:r>
        <w:rPr>
          <w:rFonts w:ascii="Microsoft YaHei" w:hAnsi="Microsoft YaHei" w:eastAsia="Microsoft YaHei"/>
          <w:sz w:val="22"/>
        </w:rPr>
        <w:t>本文档给出MVP的正式产品范围、功能要求、数据边界和验收口径。开发应以本版本为准。产品面向单人内部审计师，原始资料和审计结果保存在本地，模型能力通过用户配置的外部API提供。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7370"/>
      </w:tblGrid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基准日期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2026年9月19日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单人内部审计师使用的Windows本地优先MVP</w:t>
            </w:r>
          </w:p>
        </w:tc>
      </w:tr>
    </w:tbl>
    <w:p/>
    <w:p>
      <w:pPr>
        <w:pStyle w:val="Heading1"/>
      </w:pPr>
      <w:r>
        <w:t>产品结论</w:t>
      </w:r>
    </w:p>
    <w:p>
      <w:r>
        <w:rPr>
          <w:rFonts w:ascii="Microsoft YaHei" w:hAnsi="Microsoft YaHei" w:eastAsia="Microsoft YaHei"/>
        </w:rPr>
        <w:t>本项目可以进入开发。MVP采用本地优先架构，不部署本地大模型，不运行Docker或服务器级知识库。DeepSeek、GLM、Kimi、通义千问及其他OpenAI兼容模型通过统一网关接入。</w:t>
      </w:r>
    </w:p>
    <w:p>
      <w:r>
        <w:rPr>
          <w:rFonts w:ascii="Microsoft YaHei" w:hAnsi="Microsoft YaHei" w:eastAsia="Microsoft YaHei"/>
          <w:b/>
        </w:rPr>
        <w:t>必须修正的原始需求</w:t>
      </w:r>
      <w:r>
        <w:rPr>
          <w:rFonts w:ascii="Microsoft YaHei" w:hAnsi="Microsoft YaHei" w:eastAsia="Microsoft YaHei"/>
        </w:rPr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将全程离线改为本地优先。启用外部模型API时，系统必须联网并向所选服务商发送最小必要数据。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将每次使用11年全量文档作为上下文改为在全量资料中检索，每次仅发送相关证据和结构化数据。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将Z-score单一异常识别改为确定性规则、稳健统计、趋势指标和模型解释相结合。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将扫描件全部精确高亮改为MVP保证页码定位，坐标高亮取决于OCR结果是否包含可靠坐标。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将完整推理过程改为分析依据、证据、计算步骤、规则、假设和不确定性。</w:t>
      </w:r>
    </w:p>
    <w:p>
      <w:pPr>
        <w:pStyle w:val="Heading1"/>
      </w:pPr>
      <w:r>
        <w:t>产品定位和目标</w:t>
      </w:r>
    </w:p>
    <w:p>
      <w:r>
        <w:rPr>
          <w:rFonts w:ascii="Microsoft YaHei" w:hAnsi="Microsoft YaHei" w:eastAsia="Microsoft YaHei"/>
        </w:rPr>
        <w:t>平台用于多年财务审计资料的本地管理、异常发现、证据检索、审计程序生成、访谈准备和报告出稿。AI负责文档理解、证据归纳和文字生成；本地程序负责金额计算、统计检测、任务状态、缓存和审计留痕。</w:t>
      </w:r>
    </w:p>
    <w:tbl>
      <w:tblPr>
        <w:tblW w:type="dxa" w:w="9184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381"/>
        <w:gridCol w:w="6803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803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降低资料审阅时间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批量导入、增量处理、页码检索和风险聚合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提高异常分析深度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历史基线、稳健统计、相关证据和潜在原因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形成可核查工作产品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风险卡片、资料清单、访谈问题、证据包和固定模板报告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控制本地资源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16GB轻薄本可用，应用进程受控，后台任务自动降速和暂停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避免模型绑定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用户可配置模型服务商、模型名称、任务路由和备用模型</w:t>
            </w:r>
          </w:p>
        </w:tc>
      </w:tr>
    </w:tbl>
    <w:p>
      <w:pPr>
        <w:spacing w:after="20"/>
      </w:pPr>
    </w:p>
    <w:p>
      <w:pPr>
        <w:pStyle w:val="Heading1"/>
      </w:pPr>
      <w:r>
        <w:t>用户和使用场景</w:t>
      </w:r>
    </w:p>
    <w:p>
      <w:r>
        <w:rPr>
          <w:rFonts w:ascii="Microsoft YaHei" w:hAnsi="Microsoft YaHei" w:eastAsia="Microsoft YaHei"/>
        </w:rPr>
        <w:t>唯一目标用户为单人内部审计师。MVP不建设组织、角色和复杂权限体系，但服务只绑定本机回环地址，并保留本地访问令牌，防止局域网误访问。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审前准备时批量导入多年审计报告、年报、科目资料、凭证、合同、会议纪要和银行资料。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风险评估时识别跨年度异动、异常余额、勾稽差异和需要补充证据的事项。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现场审计时查看证据、记录备忘录、生成资料清单和访谈问题。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报告阶段将已核实风险写入固定Word、Excel和PDF模板。</w:t>
      </w:r>
    </w:p>
    <w:p>
      <w:pPr>
        <w:pStyle w:val="Heading1"/>
      </w:pPr>
      <w:r>
        <w:t>产品范围</w:t>
      </w:r>
    </w:p>
    <w:p>
      <w:pPr>
        <w:pStyle w:val="Heading2"/>
      </w:pPr>
      <w:r>
        <w:t>MVP必须完成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批量和增量导入PDF，识别原生PDF和扫描PDF。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任务暂停、继续、失败重试、损坏文件跳过和断点恢复。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原生PDF本地抽取文字、表格、页码和可用坐标。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扫描页调用视觉模型API并保存结构化结果、模型版本和页面对应关系。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年度、主体、科目、金额、风险类型和文档类型抽取及人工校正。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全文检索、向量检索和DuckDB结构化查询联合取证。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异常卡片、风险状态、证据链接、人工意见和历史版本。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资料清单、访谈问题、风险清单、管理层材料和证据包导出。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多模型配置、能力识别、任务路由、备用模型、成本记录和缓存。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轻薄本资源治理和严格离线开关。</w:t>
      </w:r>
    </w:p>
    <w:p>
      <w:pPr>
        <w:pStyle w:val="Heading2"/>
      </w:pPr>
      <w:r>
        <w:t>MVP明确不做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全自动三张表深度勾稽和全自动责任界定。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领导任期自动拆分和复杂关系图谱。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本地大模型、本地Embedding模型和GPU推理。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多用户、部门、权限和审批体系。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复杂大屏、实时流数据和移动端应用。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对全部扫描件承诺字符级坐标高亮。</w:t>
      </w:r>
    </w:p>
    <w:p>
      <w:pPr>
        <w:pStyle w:val="Heading1"/>
      </w:pPr>
      <w:r>
        <w:t>功能需求</w:t>
      </w:r>
    </w:p>
    <w:tbl>
      <w:tblPr>
        <w:tblW w:type="dxa" w:w="912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757"/>
        <w:gridCol w:w="6520"/>
        <w:gridCol w:w="850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52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85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项目工作区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创建项目、设置年度范围、选择模型方案、显示处理概况和最近活动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文档上传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批量上传、增量上传、哈希去重、进度、暂停、继续、重试和跳过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报告解析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PDF.js阅读器、页码跳转、原文检索、批注、结构化数据和人工校正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异常预警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时间轴、筛选、风险卡片、状态、证据、反证、批量导出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访谈提纲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按风险汇总问题，可编辑、排序和导出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报告生成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固定模板、AI草稿、人工二次编辑、Word Excel PDF导出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审计备忘录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多条笔记、命名、编辑、删除、关联风险和允许AI读取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模型设置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服务商、Base URL、API Key、模型名称、能力、任务路由和测试连接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调用记录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记录发送范围、模型、耗时、Token、费用、缓存和错误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严格离线模式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阻止外部请求，保留本地查询和已生成结果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多模型路由</w:t>
      </w:r>
    </w:p>
    <w:p>
      <w:r>
        <w:rPr>
          <w:rFonts w:ascii="Microsoft YaHei" w:hAnsi="Microsoft YaHei" w:eastAsia="Microsoft YaHei"/>
        </w:rPr>
        <w:t>系统不固定任何模型名称。模型版本变化时，用户可在界面新增或修改配置，不需要升级应用。每个模型记录文本、视觉、JSON、工具调用、Embedding、上下文长度和文件上传等能力。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3288"/>
        <w:gridCol w:w="3969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任务档案</w:t>
            </w:r>
          </w:p>
        </w:tc>
        <w:tc>
          <w:tcPr>
            <w:tcW w:type="dxa" w:w="328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默认能力要求</w:t>
            </w:r>
          </w:p>
        </w:tc>
        <w:tc>
          <w:tcPr>
            <w:tcW w:type="dxa" w:w="3969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路由规则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视觉识别</w:t>
            </w:r>
          </w:p>
        </w:tc>
        <w:tc>
          <w:tcPr>
            <w:tcW w:type="dxa" w:w="32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图片输入和结构化输出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当前模型不支持视觉时自动切换视觉备用模型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快速抽取</w:t>
            </w:r>
          </w:p>
        </w:tc>
        <w:tc>
          <w:tcPr>
            <w:tcW w:type="dxa" w:w="32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低延迟、JSON输出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优先低成本模型，失败后切换备用模型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风险分析</w:t>
            </w:r>
          </w:p>
        </w:tc>
        <w:tc>
          <w:tcPr>
            <w:tcW w:type="dxa" w:w="32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长上下文、推理、稳定指令遵循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使用用户指定主模型，高风险可启用第二模型复核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报告生成</w:t>
            </w:r>
          </w:p>
        </w:tc>
        <w:tc>
          <w:tcPr>
            <w:tcW w:type="dxa" w:w="32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长文本和格式稳定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只发送已确认风险和必要证据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Embedding</w:t>
            </w:r>
          </w:p>
        </w:tc>
        <w:tc>
          <w:tcPr>
            <w:tcW w:type="dxa" w:w="328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向量接口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向量维度变更时创建新索引版本，不混用旧向量</w:t>
            </w:r>
          </w:p>
        </w:tc>
      </w:tr>
    </w:tbl>
    <w:p>
      <w:pPr>
        <w:spacing w:after="20"/>
      </w:pPr>
    </w:p>
    <w:p>
      <w:pPr>
        <w:pStyle w:val="Heading1"/>
      </w:pPr>
      <w:r>
        <w:t>数据处理和证据要求</w:t>
      </w:r>
    </w:p>
    <w:p>
      <w:pPr>
        <w:pStyle w:val="ListNumber"/>
      </w:pPr>
      <w:r>
        <w:rPr>
          <w:rFonts w:ascii="Microsoft YaHei" w:hAnsi="Microsoft YaHei" w:eastAsia="Microsoft YaHei"/>
        </w:rPr>
        <w:t>上传后计算SHA-256文件哈希，同一项目内默认不重复处理相同文件。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原生PDF优先本地解析，只有扫描页或解析失败页进入视觉API。</w:t>
      </w:r>
    </w:p>
    <w:p>
      <w:pPr>
        <w:pStyle w:val="ListNumber"/>
      </w:pPr>
      <w:r>
        <w:rPr>
          <w:rFonts w:ascii="Microsoft YaHei" w:hAnsi="Microsoft YaHei" w:eastAsia="Microsoft YaHei"/>
        </w:rPr>
        <w:t>每个文字块保存项目、文档、页码、块序号、原文、抽取方式和版本。</w:t>
      </w:r>
    </w:p>
    <w:p>
      <w:pPr>
        <w:pStyle w:val="ListNumber"/>
      </w:pPr>
      <w:r>
        <w:rPr>
          <w:rFonts w:ascii="Microsoft YaHei" w:hAnsi="Microsoft YaHei" w:eastAsia="Microsoft YaHei"/>
        </w:rPr>
        <w:t>每条风险保存触发规则、输入值、基线值、计算结果、模型解释、支持证据、反证和人工状态。</w:t>
      </w:r>
    </w:p>
    <w:p>
      <w:pPr>
        <w:pStyle w:val="ListNumber"/>
      </w:pPr>
      <w:r>
        <w:rPr>
          <w:rFonts w:ascii="Microsoft YaHei" w:hAnsi="Microsoft YaHei" w:eastAsia="Microsoft YaHei"/>
        </w:rPr>
        <w:t>新增资料只触发相关年度、科目、主体和风险的重新检索与分析。</w:t>
      </w:r>
    </w:p>
    <w:p>
      <w:pPr>
        <w:pStyle w:val="ListNumber"/>
      </w:pPr>
      <w:r>
        <w:rPr>
          <w:rFonts w:ascii="Microsoft YaHei" w:hAnsi="Microsoft YaHei" w:eastAsia="Microsoft YaHei"/>
        </w:rPr>
        <w:t>风险结论更新时保留旧版本，不覆盖审计历史。</w:t>
      </w:r>
    </w:p>
    <w:p>
      <w:pPr>
        <w:pStyle w:val="Heading1"/>
      </w:pPr>
      <w:r>
        <w:t>异常识别规则</w:t>
      </w:r>
    </w:p>
    <w:p>
      <w:r>
        <w:rPr>
          <w:rFonts w:ascii="Microsoft YaHei" w:hAnsi="Microsoft YaHei" w:eastAsia="Microsoft YaHei"/>
        </w:rPr>
        <w:t>MVP不允许模型直接计算金额。异常引擎先在本地生成可复现指标，再把指标和证据交给模型解释。十一年度数据点较少，Z-score只能作为辅助指标。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701"/>
        <w:gridCol w:w="3969"/>
        <w:gridCol w:w="340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969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40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确定性财务规则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借贷平衡、合计、期初期末、勾稽和重复记录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规则必须版本化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同比和趋势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年度变动、连续上升下降、趋势拐点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需处理缺失年度和会计政策变化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中位数和MAD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降低极端年份对历史基线的影响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样本过少时只提示不定性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Z-score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辅助衡量偏离程度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不得单独决定高风险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结构占比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科目占总资产、收入或费用比例变化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分母和口径必须一致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模型解释</w:t>
            </w:r>
          </w:p>
        </w:tc>
        <w:tc>
          <w:tcPr>
            <w:tcW w:type="dxa" w:w="396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结合合同、纪要、报告等非结构化证据解释原因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只能形成线索，最终由审计人员确认</w:t>
            </w:r>
          </w:p>
        </w:tc>
      </w:tr>
    </w:tbl>
    <w:p>
      <w:pPr>
        <w:spacing w:after="20"/>
      </w:pPr>
    </w:p>
    <w:p>
      <w:pPr>
        <w:pStyle w:val="Heading1"/>
      </w:pPr>
      <w:r>
        <w:t>资源和性能要求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803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目标设备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Windows 10或11，4核8线程以上，16GB内存，SSD剩余空间100GB以上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常驻内存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应用后端、索引和任务服务空闲合计不高于2.5GB，不含用户浏览器其他标签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工作内存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常规任务目标不高于5GB，DuckDB默认内存上限2GB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应用CPU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持续平均目标不高于35%，短时峰值不高于45%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整机保护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整机CPU连续超过50%时暂停后台任务，低于30%后恢复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任务并发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本地CPU任务固定1个，外部API请求默认2个并可配置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运行方式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不得要求Docker、WSL、GPU或本地模型</w:t>
            </w:r>
          </w:p>
        </w:tc>
      </w:tr>
    </w:tbl>
    <w:p>
      <w:pPr>
        <w:spacing w:after="20"/>
      </w:pPr>
    </w:p>
    <w:p>
      <w:pPr>
        <w:pStyle w:val="Heading1"/>
      </w:pPr>
      <w:r>
        <w:t>安全和隐私要求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界面必须清楚显示当前是否允许外部API请求。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每次外发记录服务商、模型、任务、文档页码、发送时间、结果状态和数据摘要。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API Key使用Windows凭据保护或等效方式加密，日志不得记录明文密钥。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外部文件上传应设置最短保存时间，并在任务完成后调用删除接口。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本地服务只监听127.0.0.1，禁止默认暴露至局域网。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严格离线模式通过统一网络拦截器阻断全部模型和Embedding请求。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模型输出不得直接写入最终审计结论，必须经过人工状态确认。</w:t>
      </w:r>
    </w:p>
    <w:p>
      <w:pPr>
        <w:pStyle w:val="Heading1"/>
      </w:pPr>
      <w:r>
        <w:t>验收标准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701"/>
        <w:gridCol w:w="7370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验收域</w:t>
            </w:r>
          </w:p>
        </w:tc>
        <w:tc>
          <w:tcPr>
            <w:tcW w:type="dxa" w:w="737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导入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可批量和增量导入PDF；损坏文件不阻塞整批任务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恢复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程序关闭后再次打开，任务、文档、风险和笔记状态完整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模型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至少成功配置两家不同厂商，并可在界面切换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路由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文本模型不支持视觉时自动使用视觉备用模型并在结果中标明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证据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每条AI风险至少包含文档名、页码和原文片段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计算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金额和统计指标均能通过本地代码复算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增量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新增资料只重算受影响事项，并保存前后结论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人工复核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风险可标记待核实、已核实、排除，并同步到导出结果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报告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Word、Excel和PDF导出与当前风险状态一致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性能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在基准轻薄本压力测试中满足CPU和内存保护要求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隐私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可查看全部外发记录，严格离线模式下无外部请求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失败处理</w:t>
            </w:r>
          </w:p>
        </w:tc>
        <w:tc>
          <w:tcPr>
            <w:tcW w:type="dxa" w:w="737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API超时、限流和余额不足可重试、切换备用模型或人工跳过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产品需求说明书  版本 1.0  2026年9月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01_AI财务审计分析平台_MVP产品需求说明书</dc:title>
  <dc:subject>AI财务审计分析平台MVP开发文档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