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sz w:val="44"/>
        </w:rPr>
        <w:t>AI财务审计分析平台 MVP 技术架构设计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2"/>
        </w:rPr>
        <w:t>单机低负载 多模型 API 本地证据仓</w:t>
      </w:r>
    </w:p>
    <w:p>
      <w:pPr>
        <w:spacing w:after="280"/>
      </w:pPr>
      <w:r>
        <w:rPr>
          <w:rFonts w:ascii="Microsoft YaHei" w:hAnsi="Microsoft YaHei" w:eastAsia="Microsoft YaHei"/>
          <w:sz w:val="22"/>
        </w:rPr>
        <w:t>本文档定义MVP的技术边界、模块、数据结构、模型网关、任务状态和资源治理方法。目标是让应用在16GB轻薄本上稳定运行，并保持财务计算和证据链可复现。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7370"/>
      </w:tblGrid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基准日期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2026年9月19日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单人内部审计师使用的Windows本地优先MVP</w:t>
            </w:r>
          </w:p>
        </w:tc>
      </w:tr>
    </w:tbl>
    <w:p/>
    <w:p>
      <w:pPr>
        <w:pStyle w:val="Heading1"/>
      </w:pPr>
      <w:r>
        <w:t>架构决策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57"/>
        <w:gridCol w:w="2551"/>
        <w:gridCol w:w="4762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255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476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运行形态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本地Web应用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使用系统浏览器，避免Electron常驻开销；后端只监听127.0.0.1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部署方式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原生Windows安装包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不要求Docker、WSL或服务器组件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事务存储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SQLite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单用户、零运维、适合任务和风险状态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分析引擎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DuckDB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进程内分析PDF抽取表和多年财务数据，可限制线程和内存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SQLite FTS5加sqlite-vec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全文与向量同库，避免独立向量服务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模型接入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LiteLLM SDK加厂商适配器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统一协议，同时保留视觉和文件API等厂商能力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任务队列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SQLite持久化单工作器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无需Redis或Celery，支持暂停和恢复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文件存储</w:t>
            </w:r>
          </w:p>
        </w:tc>
        <w:tc>
          <w:tcPr>
            <w:tcW w:type="dxa" w:w="255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本地目录加哈希索引</w:t>
            </w:r>
          </w:p>
        </w:tc>
        <w:tc>
          <w:tcPr>
            <w:tcW w:type="dxa" w:w="476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减少MinIO等常驻服务</w:t>
            </w:r>
          </w:p>
        </w:tc>
      </w:tr>
    </w:tbl>
    <w:p>
      <w:pPr>
        <w:spacing w:after="20"/>
      </w:pPr>
    </w:p>
    <w:p>
      <w:pPr>
        <w:pStyle w:val="Heading1"/>
      </w:pPr>
      <w:r>
        <w:t>总体架构</w:t>
      </w:r>
    </w:p>
    <w:p>
      <w:r>
        <w:rPr>
          <w:rFonts w:ascii="Microsoft YaHei" w:hAnsi="Microsoft YaHei" w:eastAsia="Microsoft YaHei"/>
        </w:rPr>
        <w:t>界面通过本地HTTP接口访问后端。后端将文件处理、结构化查询、证据检索和模型调用拆成独立模块。任何模型请求必须经过模型网关和外发审计器。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361"/>
        <w:gridCol w:w="2891"/>
        <w:gridCol w:w="4819"/>
      </w:tblGrid>
      <w:tr>
        <w:trPr>
          <w:tblHeader w:val="true"/>
        </w:trPr>
        <w:tc>
          <w:tcPr>
            <w:tcW w:type="dxa" w:w="136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89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819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表现层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React PDF.js ECharts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上传、阅读、风险、访谈、报告、设置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应用层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FastAPI Uvicorn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本地API、业务校验、流式响应和文件下载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任务层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SQLite任务表 单工作器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任务分步执行、暂停、重试和断点恢复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审计引擎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DuckDB Python规则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金额计算、基线、异常分数和勾稽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检索层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FTS5 sqlite-vec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关键词、向量、元数据过滤和融合排序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LiteLLM SDK Provider Adapter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DeepSeek GLM Kimi 千问 自定义端点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存储层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SQLite DuckDB 本地目录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元数据、结构化数据、原始文件和导出物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控制层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Resource Governor Egress Audit</w:t>
            </w:r>
          </w:p>
        </w:tc>
        <w:tc>
          <w:tcPr>
            <w:tcW w:type="dxa" w:w="481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CPU内存控制、外发记录和离线开关</w:t>
            </w:r>
          </w:p>
        </w:tc>
      </w:tr>
    </w:tbl>
    <w:p>
      <w:pPr>
        <w:spacing w:after="20"/>
      </w:pPr>
    </w:p>
    <w:p>
      <w:pPr>
        <w:pStyle w:val="Heading1"/>
      </w:pPr>
      <w:r>
        <w:t>技术组件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2608"/>
        <w:gridCol w:w="4649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模块标识</w:t>
            </w:r>
          </w:p>
        </w:tc>
        <w:tc>
          <w:tcPr>
            <w:tcW w:type="dxa" w:w="260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建议技术</w:t>
            </w:r>
          </w:p>
        </w:tc>
        <w:tc>
          <w:tcPr>
            <w:tcW w:type="dxa" w:w="4649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frontend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React TypeScript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标签页、表单、流式结果和本地状态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pdf-viewer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PDF.js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页码跳转、文本搜索、高亮和批注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FastAPI Uvicorn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REST和SSE接口、校验、任务控制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metadata-db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SQLite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项目、文档、风险、笔记、任务、模型、缓存和日志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analytics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DuckDB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年度指标、规则结果和异常统计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retrieval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FTS5 sqlite-vec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混合检索和元数据过滤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model-gateway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LiteLLM SDK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协议归一化、重试、备用模型和用量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document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pypdf pdfplumber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原生PDF页级提取和表格候选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report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python-docx docxtpl openpyxl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Word和Excel模板输出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resource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psutil Windows Job Object</w:t>
            </w:r>
          </w:p>
        </w:tc>
        <w:tc>
          <w:tcPr>
            <w:tcW w:type="dxa" w:w="464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监控、降速、暂停和进程CPU上限</w:t>
            </w:r>
          </w:p>
        </w:tc>
      </w:tr>
    </w:tbl>
    <w:p>
      <w:pPr>
        <w:spacing w:after="20"/>
      </w:pPr>
    </w:p>
    <w:p>
      <w:pPr>
        <w:pStyle w:val="Heading1"/>
      </w:pPr>
      <w:r>
        <w:t>核心数据模型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041"/>
        <w:gridCol w:w="4309"/>
        <w:gridCol w:w="2721"/>
      </w:tblGrid>
      <w:tr>
        <w:trPr>
          <w:tblHeader w:val="true"/>
        </w:trPr>
        <w:tc>
          <w:tcPr>
            <w:tcW w:type="dxa" w:w="204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数据表</w:t>
            </w:r>
          </w:p>
        </w:tc>
        <w:tc>
          <w:tcPr>
            <w:tcW w:type="dxa" w:w="4309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72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projects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项目名称、年度范围、模式、默认模型方案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项目根记录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documents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哈希、路径、类型、页数、解析状态、版本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原始文件索引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pages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文档、页码、文本、图像路径、解析方法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页级证据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chunks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页面、块序号、文本、元数据、索引版本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检索最小单元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extracted_values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年度、主体、科目、金额、来源、校正状态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结构化抽取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risk_items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风险类型、等级、状态、摘要、规则版本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风险主记录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risk_evidence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风险、文档、页码、块、证据方向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支持证据和反证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risk_versions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旧结论、新结论、变化原因、确认状态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增量更新历史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notes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标题、正文、关联项目和风险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审计备忘录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tasks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类型、状态、当前步骤、进度、重试和错误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可恢复任务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model_profiles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服务商、端点、模型、能力、密钥引用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多模型配置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model_calls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请求摘要、外发范围、用量、费用、耗时和结果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模型审计日志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cache_entries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任务指纹、模型、提示词、证据哈希和结果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可控缓存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exports</w:t>
            </w:r>
          </w:p>
        </w:tc>
        <w:tc>
          <w:tcPr>
            <w:tcW w:type="dxa" w:w="430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模板、版本、文件路径、生成时间和风险快照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历史出稿</w:t>
            </w:r>
          </w:p>
        </w:tc>
      </w:tr>
    </w:tbl>
    <w:p>
      <w:pPr>
        <w:spacing w:after="20"/>
      </w:pPr>
    </w:p>
    <w:p>
      <w:pPr>
        <w:pStyle w:val="Heading1"/>
      </w:pPr>
      <w:r>
        <w:t>文档处理管线</w:t>
      </w:r>
    </w:p>
    <w:p>
      <w:pPr>
        <w:pStyle w:val="ListNumber"/>
      </w:pPr>
      <w:r>
        <w:rPr>
          <w:rFonts w:ascii="Microsoft YaHei" w:hAnsi="Microsoft YaHei" w:eastAsia="Microsoft YaHei"/>
        </w:rPr>
        <w:t>登记文件并计算SHA-256，命中已有文件时复用解析结果。</w:t>
      </w:r>
    </w:p>
    <w:p>
      <w:pPr>
        <w:pStyle w:val="ListNumber"/>
      </w:pPr>
      <w:r>
        <w:rPr>
          <w:rFonts w:ascii="Microsoft YaHei" w:hAnsi="Microsoft YaHei" w:eastAsia="Microsoft YaHei"/>
        </w:rPr>
        <w:t>检测是否存在可用文本层。原生PDF进入本地提取，扫描页进入图像任务。</w:t>
      </w:r>
    </w:p>
    <w:p>
      <w:pPr>
        <w:pStyle w:val="ListNumber"/>
      </w:pPr>
      <w:r>
        <w:rPr>
          <w:rFonts w:ascii="Microsoft YaHei" w:hAnsi="Microsoft YaHei" w:eastAsia="Microsoft YaHei"/>
        </w:rPr>
        <w:t>扫描页按需逐页渲染。单页完成上传后立即释放图像内存和临时文件。</w:t>
      </w:r>
    </w:p>
    <w:p>
      <w:pPr>
        <w:pStyle w:val="ListNumber"/>
      </w:pPr>
      <w:r>
        <w:rPr>
          <w:rFonts w:ascii="Microsoft YaHei" w:hAnsi="Microsoft YaHei" w:eastAsia="Microsoft YaHei"/>
        </w:rPr>
        <w:t>模型网关选择视觉模型并要求固定JSON输出。输出先做JSON Schema验证。</w:t>
      </w:r>
    </w:p>
    <w:p>
      <w:pPr>
        <w:pStyle w:val="ListNumber"/>
      </w:pPr>
      <w:r>
        <w:rPr>
          <w:rFonts w:ascii="Microsoft YaHei" w:hAnsi="Microsoft YaHei" w:eastAsia="Microsoft YaHei"/>
        </w:rPr>
        <w:t>本地规则检查金额格式、借贷方向、合计和跨页一致性。</w:t>
      </w:r>
    </w:p>
    <w:p>
      <w:pPr>
        <w:pStyle w:val="ListNumber"/>
      </w:pPr>
      <w:r>
        <w:rPr>
          <w:rFonts w:ascii="Microsoft YaHei" w:hAnsi="Microsoft YaHei" w:eastAsia="Microsoft YaHei"/>
        </w:rPr>
        <w:t>保存页级文本、结构化数据和模型调用记录，再生成检索块。</w:t>
      </w:r>
    </w:p>
    <w:p>
      <w:pPr>
        <w:pStyle w:val="ListNumber"/>
      </w:pPr>
      <w:r>
        <w:rPr>
          <w:rFonts w:ascii="Microsoft YaHei" w:hAnsi="Microsoft YaHei" w:eastAsia="Microsoft YaHei"/>
        </w:rPr>
        <w:t>调用Embedding API，将向量写入带版本的sqlite-vec索引。</w:t>
      </w:r>
    </w:p>
    <w:p>
      <w:pPr>
        <w:pStyle w:val="Heading1"/>
      </w:pPr>
      <w:r>
        <w:t>检索和上下文构建</w:t>
      </w:r>
    </w:p>
    <w:p>
      <w:r>
        <w:rPr>
          <w:rFonts w:ascii="Microsoft YaHei" w:hAnsi="Microsoft YaHei" w:eastAsia="Microsoft YaHei"/>
        </w:rPr>
        <w:t>系统在全部11年资料中检索，但不把全部资料发送给模型。上下文构建器先读取结构化指标，再执行全文和向量检索，最后按页码、年度、科目和来源去重。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87"/>
        <w:gridCol w:w="5102"/>
        <w:gridCol w:w="2381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10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238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默认上限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问题解析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识别年度、主体、科目、风险类型和任务意图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1次快速模型调用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结构化查询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DuckDB返回指标和异常结果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200行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关键词召回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FTS5查询关键名词和精确数字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50块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向量召回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sqlite-vec语义检索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50块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融合排序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规则分数加可选API Rerank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保留20至30块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上下文封装</w:t>
            </w:r>
          </w:p>
        </w:tc>
        <w:tc>
          <w:tcPr>
            <w:tcW w:type="dxa" w:w="51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按证据编号、页码和来源组合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由模型上下文预算控制</w:t>
            </w:r>
          </w:p>
        </w:tc>
      </w:tr>
    </w:tbl>
    <w:p>
      <w:pPr>
        <w:spacing w:after="20"/>
      </w:pPr>
    </w:p>
    <w:p>
      <w:pPr>
        <w:pStyle w:val="Heading1"/>
      </w:pPr>
      <w:r>
        <w:t>模型网关设计</w:t>
      </w:r>
    </w:p>
    <w:p>
      <w:r>
        <w:rPr>
          <w:rFonts w:ascii="Microsoft YaHei" w:hAnsi="Microsoft YaHei" w:eastAsia="Microsoft YaHei"/>
        </w:rPr>
        <w:t>网关提供统一任务接口，并允许适配器直接调用厂商原生视觉、文件和Responses接口。不能把所有模型假定为完全兼容；每个模型必须通过能力注册表声明支持项。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01"/>
        <w:gridCol w:w="3458"/>
        <w:gridCol w:w="391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能力字段</w:t>
            </w:r>
          </w:p>
        </w:tc>
        <w:tc>
          <w:tcPr>
            <w:tcW w:type="dxa" w:w="345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91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text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文本对话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所有分析模型必须支持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vision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图片输入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不支持时路由至视觉备用模型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json_schema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不支持时使用提示约束和本地修复器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tool_calls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工具调用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仅在能力验证通过后启用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文本向量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维度写入索引版本，不同维度不得混用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files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文件上传和复用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记录远端文件ID、到期时间和删除结果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reasoning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推理模式</w:t>
            </w:r>
          </w:p>
        </w:tc>
        <w:tc>
          <w:tcPr>
            <w:tcW w:type="dxa" w:w="39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只保存可展示的分析依据，不保存隐藏思维链</w:t>
            </w:r>
          </w:p>
        </w:tc>
      </w:tr>
    </w:tbl>
    <w:p>
      <w:pPr>
        <w:spacing w:after="20"/>
      </w:pPr>
    </w:p>
    <w:p>
      <w:pPr>
        <w:pStyle w:val="Heading1"/>
      </w:pPr>
      <w:r>
        <w:t>任务状态机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01"/>
        <w:gridCol w:w="2835"/>
        <w:gridCol w:w="4535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3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453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queued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开始 取消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等待单工作器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running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暂停 取消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执行一个可重入步骤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pausing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等待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当前安全点完成后暂停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paused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继续 取消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进度和中间结果已落盘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retry_wait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立即重试 跳过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API限流或临时错误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failed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重试 跳过 查看错误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不可自动恢复或重试耗尽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completed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查看结果 重新运行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所有输出已提交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cancelled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重新运行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保留日志，清理临时文件</w:t>
            </w:r>
          </w:p>
        </w:tc>
      </w:tr>
    </w:tbl>
    <w:p>
      <w:pPr>
        <w:spacing w:after="20"/>
      </w:pPr>
    </w:p>
    <w:p>
      <w:pPr>
        <w:pStyle w:val="Heading1"/>
      </w:pPr>
      <w:r>
        <w:t>资源治理</w:t>
      </w:r>
    </w:p>
    <w:p>
      <w:r>
        <w:rPr>
          <w:rFonts w:ascii="Microsoft YaHei" w:hAnsi="Microsoft YaHei" w:eastAsia="Microsoft YaHei"/>
        </w:rPr>
        <w:t>资源目标通过应用进程限制和整机负载监控共同实现。应用无法控制其他软件，因此验收应约束本应用进程，并要求整机负载超过阈值时暂停后台任务。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68"/>
        <w:gridCol w:w="2438"/>
        <w:gridCol w:w="4365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控制项</w:t>
            </w:r>
          </w:p>
        </w:tc>
        <w:tc>
          <w:tcPr>
            <w:tcW w:type="dxa" w:w="243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436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本地CPU任务并发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单工作器串行处理页面、解析和统计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API并发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异步HTTP信号量，可由用户调整为1至4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DuckDB线程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逻辑核心25%且最多2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连接初始化时设置threads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DuckDB内存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2GB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设置memory_limit并允许用户降低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应用CPU硬上限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35%至40%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Windows Job Object CPU rate control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整机暂停阈值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CPU超过50%持续10秒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psutil采样后暂停后台工作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整机恢复阈值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CPU低于30%持续10秒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自动恢复队列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内存保护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系统使用率超过70%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暂停新任务并释放临时对象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磁盘保护</w:t>
            </w:r>
          </w:p>
        </w:tc>
        <w:tc>
          <w:tcPr>
            <w:tcW w:type="dxa" w:w="243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剩余低于10GB</w:t>
            </w:r>
          </w:p>
        </w:tc>
        <w:tc>
          <w:tcPr>
            <w:tcW w:type="dxa" w:w="43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停止新导入并提示清理</w:t>
            </w:r>
          </w:p>
        </w:tc>
      </w:tr>
    </w:tbl>
    <w:p>
      <w:pPr>
        <w:spacing w:after="20"/>
      </w:pPr>
    </w:p>
    <w:p>
      <w:pPr>
        <w:pStyle w:val="Heading1"/>
      </w:pPr>
      <w:r>
        <w:t>安全设计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本地服务只绑定127.0.0.1，并在浏览器会话中使用随机本地令牌。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API Key不写入SQLite明文字段，使用Windows DPAPI或系统凭据库。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模型请求经过统一外发拦截器；严格离线模式在此层直接拒绝请求。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日志保存请求摘要和证据编号，不默认保存完整敏感正文。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远端文件在任务完成后主动删除，并记录删除是否成功。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导出文件包含生成时间、风险快照和模型来源，但不包含隐藏推理内容。</w:t>
      </w:r>
    </w:p>
    <w:p>
      <w:pPr>
        <w:pStyle w:val="Heading1"/>
      </w:pPr>
      <w:r>
        <w:t>部署目录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68"/>
        <w:gridCol w:w="4422"/>
        <w:gridCol w:w="2381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442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8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备份要求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data/app.db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SQLite元数据、任务和审计日志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data/analytics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DuckDB项目分析库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data/files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原始PDF和用户附件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data/derived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OCR结果、缩略图、解析JSON和向量索引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data/templates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Word和Excel模板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data/exports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历史生成结果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按项目策略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data/temp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逐页图片和临时响应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不备份，启动时清理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技术风险和处置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381"/>
        <w:gridCol w:w="2494"/>
        <w:gridCol w:w="4195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49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19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视觉模型数字误识别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金额和表格不可靠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本地勾稽、第二模型复核、人工校正和来源页保留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供应商接口变化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模型调用失败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能力注册表、适配器隔离、用户可改Base URL和模型名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11年样本过少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统计误报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MAD、规则、趋势和审计判断组合，不让Z-score单独定级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API数据外发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涉密和合规风险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最小证据、外发日志、项目策略和严格离线模式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SQLite单写限制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批量任务竞争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单工作器和短事务，避免并行写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轻薄本资源波动</w:t>
            </w:r>
          </w:p>
        </w:tc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影响用户日常办公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硬上限、整机阈值、空闲优先和可暂停任务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技术架构设计说明书  版本 1.0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02_AI财务审计分析平台_MVP技术架构设计说明书</dc:title>
  <dc:subject>AI财务审计分析平台MVP开发文档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