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b/>
          <w:sz w:val="44"/>
        </w:rPr>
        <w:t>AI财务审计平台 MVP 开发与验收计划</w:t>
      </w:r>
    </w:p>
    <w:p>
      <w:pPr>
        <w:spacing w:after="280"/>
      </w:pPr>
      <w:r>
        <w:rPr>
          <w:rFonts w:ascii="Microsoft YaHei" w:hAnsi="Microsoft YaHei" w:eastAsia="Microsoft YaHei"/>
          <w:color w:val="666666"/>
          <w:sz w:val="22"/>
        </w:rPr>
        <w:t>迭代顺序 测试矩阵 发布条件</w:t>
      </w:r>
    </w:p>
    <w:p>
      <w:pPr>
        <w:spacing w:after="280"/>
      </w:pPr>
      <w:r>
        <w:rPr>
          <w:rFonts w:ascii="Microsoft YaHei" w:hAnsi="Microsoft YaHei" w:eastAsia="Microsoft YaHei"/>
          <w:sz w:val="22"/>
        </w:rPr>
        <w:t>本文档将产品和技术要求拆成可执行迭代，并给出功能、性能、安全和模型兼容验收标准。计划假设由一名具备Python和React经验的全栈开发人员主导，内部审计人员持续提供样本和业务验收。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814"/>
        <w:gridCol w:w="7370"/>
      </w:tblGrid>
      <w:tr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1.0</w:t>
            </w:r>
          </w:p>
        </w:tc>
      </w:tr>
      <w:tr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r>
              <w:rPr>
                <w:b/>
              </w:rPr>
              <w:t>基准日期</w:t>
            </w:r>
          </w:p>
        </w:tc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2026年9月19日</w:t>
            </w:r>
          </w:p>
        </w:tc>
      </w:tr>
      <w:tr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r>
              <w:rPr>
                <w:b/>
              </w:rPr>
              <w:t>适用范围</w:t>
            </w:r>
          </w:p>
        </w:tc>
        <w:tc>
          <w:tcPr>
            <w:tcW w:type="dxa" w:w="47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单人内部审计师使用的Windows本地优先MVP</w:t>
            </w:r>
          </w:p>
        </w:tc>
      </w:tr>
    </w:tbl>
    <w:p/>
    <w:p>
      <w:pPr>
        <w:pStyle w:val="Heading1"/>
      </w:pPr>
      <w:r>
        <w:t>开发原则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先完成本地证据闭环，再增加AI解释。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每个模型调用都必须可替换、可缓存、可追踪和可重试。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每个金额结论都必须能由本地代码复算。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每个迭代都在16GB基准轻薄本上执行性能测试。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真实资料测试前先使用脱敏或合成样本。</w:t>
      </w:r>
    </w:p>
    <w:p>
      <w:pPr>
        <w:pStyle w:val="Heading1"/>
      </w:pPr>
      <w:r>
        <w:t>计划假设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154"/>
        <w:gridCol w:w="6917"/>
      </w:tblGrid>
      <w:tr>
        <w:trPr>
          <w:tblHeader w:val="true"/>
        </w:trPr>
        <w:tc>
          <w:tcPr>
            <w:tcW w:type="dxa" w:w="215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917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假设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团队</w:t>
            </w:r>
          </w:p>
        </w:tc>
        <w:tc>
          <w:tcPr>
            <w:tcW w:type="dxa" w:w="691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一名全栈开发人员加一名兼职审计业务验收人员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周期</w:t>
            </w:r>
          </w:p>
        </w:tc>
        <w:tc>
          <w:tcPr>
            <w:tcW w:type="dxa" w:w="691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建议10至14周；接口和真实样本质量会影响工期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设备</w:t>
            </w:r>
          </w:p>
        </w:tc>
        <w:tc>
          <w:tcPr>
            <w:tcW w:type="dxa" w:w="691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Windows 10或11，4核8线程以上，16GB内存，SSD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数据</w:t>
            </w:r>
          </w:p>
        </w:tc>
        <w:tc>
          <w:tcPr>
            <w:tcW w:type="dxa" w:w="691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MVP以PDF为主，提供至少三组脱敏测试资料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模型</w:t>
            </w:r>
          </w:p>
        </w:tc>
        <w:tc>
          <w:tcPr>
            <w:tcW w:type="dxa" w:w="691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至少准备两家文本模型和一家视觉模型API账号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交付</w:t>
            </w:r>
          </w:p>
        </w:tc>
        <w:tc>
          <w:tcPr>
            <w:tcW w:type="dxa" w:w="691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原生Windows安装包、用户手册、第三方声明和测试报告</w:t>
            </w:r>
          </w:p>
        </w:tc>
      </w:tr>
    </w:tbl>
    <w:p>
      <w:pPr>
        <w:spacing w:after="20"/>
      </w:pPr>
    </w:p>
    <w:p>
      <w:pPr>
        <w:pStyle w:val="Heading1"/>
      </w:pPr>
      <w:r>
        <w:t>迭代计划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247"/>
        <w:gridCol w:w="1814"/>
        <w:gridCol w:w="4195"/>
        <w:gridCol w:w="1814"/>
      </w:tblGrid>
      <w:tr>
        <w:trPr>
          <w:tblHeader w:val="true"/>
        </w:trPr>
        <w:tc>
          <w:tcPr>
            <w:tcW w:type="dxa" w:w="1247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81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4195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主要工作</w:t>
            </w:r>
          </w:p>
        </w:tc>
        <w:tc>
          <w:tcPr>
            <w:tcW w:type="dxa" w:w="181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阶段出口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迭代零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工程和基准</w:t>
            </w:r>
          </w:p>
        </w:tc>
        <w:tc>
          <w:tcPr>
            <w:tcW w:type="dxa" w:w="419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项目结构、SQLite迁移、配置、日志、安装验证、性能采样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可启动空应用并记录资源基线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迭代一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文档工作区</w:t>
            </w:r>
          </w:p>
        </w:tc>
        <w:tc>
          <w:tcPr>
            <w:tcW w:type="dxa" w:w="419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项目、批量上传、哈希去重、PDF.js、页码跳转、任务状态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原生PDF可导入查看和恢复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迭代二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多模型网关</w:t>
            </w:r>
          </w:p>
        </w:tc>
        <w:tc>
          <w:tcPr>
            <w:tcW w:type="dxa" w:w="419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服务商配置、密钥、文本视觉能力、路由、重试、缓存、用量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两家文本模型和一家视觉模型通过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迭代三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解析和检索</w:t>
            </w:r>
          </w:p>
        </w:tc>
        <w:tc>
          <w:tcPr>
            <w:tcW w:type="dxa" w:w="419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原生PDF抽取、扫描页视觉识别、FTS5、Embedding、sqlite-vec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从问题跳转到证据页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迭代四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异常和风险</w:t>
            </w:r>
          </w:p>
        </w:tc>
        <w:tc>
          <w:tcPr>
            <w:tcW w:type="dxa" w:w="419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DuckDB指标、MAD和趋势、风险卡片、状态、证据、增量更新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真实样本形成可复核风险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迭代五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访谈和报告</w:t>
            </w:r>
          </w:p>
        </w:tc>
        <w:tc>
          <w:tcPr>
            <w:tcW w:type="dxa" w:w="419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资料清单、访谈问题、模板编辑、Word Excel PDF导出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风险状态与导出一致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迭代六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资源和发布</w:t>
            </w:r>
          </w:p>
        </w:tc>
        <w:tc>
          <w:tcPr>
            <w:tcW w:type="dxa" w:w="419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CPU硬上限、整机暂停、离线模式、安全测试、安装包和文档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全部验收项通过</w:t>
            </w:r>
          </w:p>
        </w:tc>
      </w:tr>
    </w:tbl>
    <w:p>
      <w:pPr>
        <w:spacing w:after="20"/>
      </w:pPr>
    </w:p>
    <w:p>
      <w:pPr>
        <w:pStyle w:val="Heading1"/>
      </w:pPr>
      <w:r>
        <w:t>开发工作分解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814"/>
        <w:gridCol w:w="7257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工作包</w:t>
            </w:r>
          </w:p>
        </w:tc>
        <w:tc>
          <w:tcPr>
            <w:tcW w:type="dxa" w:w="7257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前端</w:t>
            </w:r>
          </w:p>
        </w:tc>
        <w:tc>
          <w:tcPr>
            <w:tcW w:type="dxa" w:w="72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五个标签页、项目切换、模型设置、进度、风险卡片、备忘录、PDF弹窗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后端</w:t>
            </w:r>
          </w:p>
        </w:tc>
        <w:tc>
          <w:tcPr>
            <w:tcW w:type="dxa" w:w="72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本地API、SSE进度、文件服务、输入校验、异常处理和导出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任务</w:t>
            </w:r>
          </w:p>
        </w:tc>
        <w:tc>
          <w:tcPr>
            <w:tcW w:type="dxa" w:w="72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单工作器、持久状态、安全点、暂停继续、重试和清理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PDF</w:t>
            </w:r>
          </w:p>
        </w:tc>
        <w:tc>
          <w:tcPr>
            <w:tcW w:type="dxa" w:w="72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类型检测、文本层、本地抽取、逐页渲染、页码和证据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模型</w:t>
            </w:r>
          </w:p>
        </w:tc>
        <w:tc>
          <w:tcPr>
            <w:tcW w:type="dxa" w:w="72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LiteLLM封装、厂商适配器、能力表、外发拦截器和缓存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检索</w:t>
            </w:r>
          </w:p>
        </w:tc>
        <w:tc>
          <w:tcPr>
            <w:tcW w:type="dxa" w:w="72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FTS5、Embedding、向量索引、元数据过滤、融合排序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分析</w:t>
            </w:r>
          </w:p>
        </w:tc>
        <w:tc>
          <w:tcPr>
            <w:tcW w:type="dxa" w:w="72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标准科目、年度指标、规则、MAD、趋势和风险等级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报告</w:t>
            </w:r>
          </w:p>
        </w:tc>
        <w:tc>
          <w:tcPr>
            <w:tcW w:type="dxa" w:w="72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模板字段、预览、人工编辑、Word Excel PDF和历史记录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安全</w:t>
            </w:r>
          </w:p>
        </w:tc>
        <w:tc>
          <w:tcPr>
            <w:tcW w:type="dxa" w:w="72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密钥加密、回环绑定、外发日志、文件删除和离线模式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性能</w:t>
            </w:r>
          </w:p>
        </w:tc>
        <w:tc>
          <w:tcPr>
            <w:tcW w:type="dxa" w:w="725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Job Object、psutil监控、DuckDB上限、压力测试和降速</w:t>
            </w:r>
          </w:p>
        </w:tc>
      </w:tr>
    </w:tbl>
    <w:p>
      <w:pPr>
        <w:spacing w:after="20"/>
      </w:pPr>
    </w:p>
    <w:p>
      <w:pPr>
        <w:pStyle w:val="Heading1"/>
      </w:pPr>
      <w:r>
        <w:t>测试数据集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814"/>
        <w:gridCol w:w="4422"/>
        <w:gridCol w:w="2835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数据集</w:t>
            </w:r>
          </w:p>
        </w:tc>
        <w:tc>
          <w:tcPr>
            <w:tcW w:type="dxa" w:w="4422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最低内容</w:t>
            </w:r>
          </w:p>
        </w:tc>
        <w:tc>
          <w:tcPr>
            <w:tcW w:type="dxa" w:w="2835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A 原生报告</w:t>
            </w:r>
          </w:p>
        </w:tc>
        <w:tc>
          <w:tcPr>
            <w:tcW w:type="dxa" w:w="442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3个年度原生PDF，含报表、附注和可复制文字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页码、文本、表格、检索和高亮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B 扫描报告</w:t>
            </w:r>
          </w:p>
        </w:tc>
        <w:tc>
          <w:tcPr>
            <w:tcW w:type="dxa" w:w="442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100页扫描PDF，含表格、印章、倾斜页和低清页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视觉识别、失败处理和人工校正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C 多年财务</w:t>
            </w:r>
          </w:p>
        </w:tc>
        <w:tc>
          <w:tcPr>
            <w:tcW w:type="dxa" w:w="442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11年科目数据和已知异常清单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历史基线、MAD、趋势和误报分析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D 增量证据</w:t>
            </w:r>
          </w:p>
        </w:tc>
        <w:tc>
          <w:tcPr>
            <w:tcW w:type="dxa" w:w="442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能够支持或推翻已有风险的新合同或纪要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受影响风险重算和版本差异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E API故障</w:t>
            </w:r>
          </w:p>
        </w:tc>
        <w:tc>
          <w:tcPr>
            <w:tcW w:type="dxa" w:w="442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超时、429、余额不足、无效JSON和服务不可用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重试、备用模型和人工跳过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F 大批量</w:t>
            </w:r>
          </w:p>
        </w:tc>
        <w:tc>
          <w:tcPr>
            <w:tcW w:type="dxa" w:w="442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500个PDF或等量合成文件</w:t>
            </w:r>
          </w:p>
        </w:tc>
        <w:tc>
          <w:tcPr>
            <w:tcW w:type="dxa" w:w="283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队列、恢复、磁盘和性能保护</w:t>
            </w:r>
          </w:p>
        </w:tc>
      </w:tr>
    </w:tbl>
    <w:p>
      <w:pPr>
        <w:spacing w:after="20"/>
      </w:pPr>
    </w:p>
    <w:p>
      <w:pPr>
        <w:pStyle w:val="Heading1"/>
      </w:pPr>
      <w:r>
        <w:t>功能验收矩阵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850"/>
        <w:gridCol w:w="1814"/>
        <w:gridCol w:w="2948"/>
        <w:gridCol w:w="3458"/>
      </w:tblGrid>
      <w:tr>
        <w:trPr>
          <w:tblHeader w:val="true"/>
        </w:trPr>
        <w:tc>
          <w:tcPr>
            <w:tcW w:type="dxa" w:w="85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81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294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</w:t>
            </w:r>
          </w:p>
        </w:tc>
        <w:tc>
          <w:tcPr>
            <w:tcW w:type="dxa" w:w="345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通过条件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F01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批量导入</w:t>
            </w:r>
          </w:p>
        </w:tc>
        <w:tc>
          <w:tcPr>
            <w:tcW w:type="dxa" w:w="294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导入50个PDF，其中2个损坏</w:t>
            </w:r>
          </w:p>
        </w:tc>
        <w:tc>
          <w:tcPr>
            <w:tcW w:type="dxa" w:w="345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48个进入处理，2个报错且整批继续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F02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增量去重</w:t>
            </w:r>
          </w:p>
        </w:tc>
        <w:tc>
          <w:tcPr>
            <w:tcW w:type="dxa" w:w="294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重复上传同一文件</w:t>
            </w:r>
          </w:p>
        </w:tc>
        <w:tc>
          <w:tcPr>
            <w:tcW w:type="dxa" w:w="345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命中哈希并复用结果，不重复调用API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F03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暂停恢复</w:t>
            </w:r>
          </w:p>
        </w:tc>
        <w:tc>
          <w:tcPr>
            <w:tcW w:type="dxa" w:w="294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解析中暂停并重启应用</w:t>
            </w:r>
          </w:p>
        </w:tc>
        <w:tc>
          <w:tcPr>
            <w:tcW w:type="dxa" w:w="345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任务保持暂停，继续后从安全点执行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F04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模型切换</w:t>
            </w:r>
          </w:p>
        </w:tc>
        <w:tc>
          <w:tcPr>
            <w:tcW w:type="dxa" w:w="294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切换两家OpenAI兼容服务商</w:t>
            </w:r>
          </w:p>
        </w:tc>
        <w:tc>
          <w:tcPr>
            <w:tcW w:type="dxa" w:w="345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无需改代码即可完成问答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F05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能力路由</w:t>
            </w:r>
          </w:p>
        </w:tc>
        <w:tc>
          <w:tcPr>
            <w:tcW w:type="dxa" w:w="294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默认文本模型不支持图片</w:t>
            </w:r>
          </w:p>
        </w:tc>
        <w:tc>
          <w:tcPr>
            <w:tcW w:type="dxa" w:w="345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自动使用视觉模型并标明实际模型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F06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原生PDF证据</w:t>
            </w:r>
          </w:p>
        </w:tc>
        <w:tc>
          <w:tcPr>
            <w:tcW w:type="dxa" w:w="294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点击风险证据</w:t>
            </w:r>
          </w:p>
        </w:tc>
        <w:tc>
          <w:tcPr>
            <w:tcW w:type="dxa" w:w="345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PDF弹窗打开到准确页码并搜索到原文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F07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扫描PDF证据</w:t>
            </w:r>
          </w:p>
        </w:tc>
        <w:tc>
          <w:tcPr>
            <w:tcW w:type="dxa" w:w="294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点击扫描件证据</w:t>
            </w:r>
          </w:p>
        </w:tc>
        <w:tc>
          <w:tcPr>
            <w:tcW w:type="dxa" w:w="345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至少打开到准确页码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F08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本地计算</w:t>
            </w:r>
          </w:p>
        </w:tc>
        <w:tc>
          <w:tcPr>
            <w:tcW w:type="dxa" w:w="294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抽查10个金额指标</w:t>
            </w:r>
          </w:p>
        </w:tc>
        <w:tc>
          <w:tcPr>
            <w:tcW w:type="dxa" w:w="345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与独立脚本复算一致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F09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风险状态</w:t>
            </w:r>
          </w:p>
        </w:tc>
        <w:tc>
          <w:tcPr>
            <w:tcW w:type="dxa" w:w="294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修改为已核实或排除</w:t>
            </w:r>
          </w:p>
        </w:tc>
        <w:tc>
          <w:tcPr>
            <w:tcW w:type="dxa" w:w="345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列表、详情和导出同步更新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F10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增量回溯</w:t>
            </w:r>
          </w:p>
        </w:tc>
        <w:tc>
          <w:tcPr>
            <w:tcW w:type="dxa" w:w="294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加入推翻旧风险的新证据</w:t>
            </w:r>
          </w:p>
        </w:tc>
        <w:tc>
          <w:tcPr>
            <w:tcW w:type="dxa" w:w="345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只重算相关风险并保留旧版本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F11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报告导出</w:t>
            </w:r>
          </w:p>
        </w:tc>
        <w:tc>
          <w:tcPr>
            <w:tcW w:type="dxa" w:w="294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导出三种格式</w:t>
            </w:r>
          </w:p>
        </w:tc>
        <w:tc>
          <w:tcPr>
            <w:tcW w:type="dxa" w:w="345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内容可打开、字段完整、证据引用存在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F12</w:t>
            </w:r>
          </w:p>
        </w:tc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离线模式</w:t>
            </w:r>
          </w:p>
        </w:tc>
        <w:tc>
          <w:tcPr>
            <w:tcW w:type="dxa" w:w="294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启用离线后执行AI任务</w:t>
            </w:r>
          </w:p>
        </w:tc>
        <w:tc>
          <w:tcPr>
            <w:tcW w:type="dxa" w:w="345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请求被阻止并给出明确提示</w:t>
            </w:r>
          </w:p>
        </w:tc>
      </w:tr>
    </w:tbl>
    <w:p>
      <w:pPr>
        <w:spacing w:after="20"/>
      </w:pPr>
    </w:p>
    <w:p>
      <w:pPr>
        <w:pStyle w:val="Heading1"/>
      </w:pPr>
      <w:r>
        <w:t>性能验收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850"/>
        <w:gridCol w:w="1928"/>
        <w:gridCol w:w="2891"/>
        <w:gridCol w:w="3402"/>
      </w:tblGrid>
      <w:tr>
        <w:trPr>
          <w:tblHeader w:val="true"/>
        </w:trPr>
        <w:tc>
          <w:tcPr>
            <w:tcW w:type="dxa" w:w="850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92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测试项</w:t>
            </w:r>
          </w:p>
        </w:tc>
        <w:tc>
          <w:tcPr>
            <w:tcW w:type="dxa" w:w="2891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3402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P01</w:t>
            </w:r>
          </w:p>
        </w:tc>
        <w:tc>
          <w:tcPr>
            <w:tcW w:type="dxa" w:w="19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空闲资源</w:t>
            </w:r>
          </w:p>
        </w:tc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启动10分钟后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后端及索引服务内存不高于2.5GB，CPU均值低于5%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P02</w:t>
            </w:r>
          </w:p>
        </w:tc>
        <w:tc>
          <w:tcPr>
            <w:tcW w:type="dxa" w:w="19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本地解析</w:t>
            </w:r>
          </w:p>
        </w:tc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连续处理原生PDF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应用CPU持续均值不高于35%，短时峰值不高于45%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P03</w:t>
            </w:r>
          </w:p>
        </w:tc>
        <w:tc>
          <w:tcPr>
            <w:tcW w:type="dxa" w:w="19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整机保护</w:t>
            </w:r>
          </w:p>
        </w:tc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人为制造整机CPU超过50%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10秒内暂停后台任务，低于30%后恢复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P04</w:t>
            </w:r>
          </w:p>
        </w:tc>
        <w:tc>
          <w:tcPr>
            <w:tcW w:type="dxa" w:w="19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内存保护</w:t>
            </w:r>
          </w:p>
        </w:tc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系统内存超过70%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不启动新任务并显示等待原因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P05</w:t>
            </w:r>
          </w:p>
        </w:tc>
        <w:tc>
          <w:tcPr>
            <w:tcW w:type="dxa" w:w="19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长任务恢复</w:t>
            </w:r>
          </w:p>
        </w:tc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批量任务中强制退出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重启后已完成步骤不重复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P06</w:t>
            </w:r>
          </w:p>
        </w:tc>
        <w:tc>
          <w:tcPr>
            <w:tcW w:type="dxa" w:w="19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交互响应</w:t>
            </w:r>
          </w:p>
        </w:tc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后台处理时浏览风险和PDF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常用操作无持续卡顿，后台自动降速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P07</w:t>
            </w:r>
          </w:p>
        </w:tc>
        <w:tc>
          <w:tcPr>
            <w:tcW w:type="dxa" w:w="19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磁盘保护</w:t>
            </w:r>
          </w:p>
        </w:tc>
        <w:tc>
          <w:tcPr>
            <w:tcW w:type="dxa" w:w="289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剩余空间低于10GB</w:t>
            </w:r>
          </w:p>
        </w:tc>
        <w:tc>
          <w:tcPr>
            <w:tcW w:type="dxa" w:w="340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停止新导入且不破坏已有项目</w:t>
            </w:r>
          </w:p>
        </w:tc>
      </w:tr>
    </w:tbl>
    <w:p>
      <w:pPr>
        <w:spacing w:after="20"/>
      </w:pPr>
    </w:p>
    <w:p>
      <w:pPr>
        <w:pStyle w:val="Heading1"/>
      </w:pPr>
      <w:r>
        <w:t>模型兼容验收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814"/>
        <w:gridCol w:w="3005"/>
        <w:gridCol w:w="4252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3005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最低覆盖</w:t>
            </w:r>
          </w:p>
        </w:tc>
        <w:tc>
          <w:tcPr>
            <w:tcW w:type="dxa" w:w="4252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验证内容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文本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DeepSeek GLM Kimi 千问中任意两家</w:t>
            </w:r>
          </w:p>
        </w:tc>
        <w:tc>
          <w:tcPr>
            <w:tcW w:type="dxa" w:w="425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流式和非流式、超时、Token用量和错误归一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视觉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任意两家视觉模型</w:t>
            </w:r>
          </w:p>
        </w:tc>
        <w:tc>
          <w:tcPr>
            <w:tcW w:type="dxa" w:w="425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单页、密集表格、低清页、JSON输出和页码绑定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结构化输出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至少两家</w:t>
            </w:r>
          </w:p>
        </w:tc>
        <w:tc>
          <w:tcPr>
            <w:tcW w:type="dxa" w:w="425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Schema验证、无效JSON修复和失败回退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Embedding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至少一家</w:t>
            </w:r>
          </w:p>
        </w:tc>
        <w:tc>
          <w:tcPr>
            <w:tcW w:type="dxa" w:w="425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向量维度、批量调用、缓存和索引版本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备用路由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至少一主一备</w:t>
            </w:r>
          </w:p>
        </w:tc>
        <w:tc>
          <w:tcPr>
            <w:tcW w:type="dxa" w:w="425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限流、超时和服务不可用时切换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文件生命周期</w:t>
            </w:r>
          </w:p>
        </w:tc>
        <w:tc>
          <w:tcPr>
            <w:tcW w:type="dxa" w:w="3005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支持文件接口的服务商</w:t>
            </w:r>
          </w:p>
        </w:tc>
        <w:tc>
          <w:tcPr>
            <w:tcW w:type="dxa" w:w="425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6"/>
              </w:rPr>
              <w:t>上传、到期设置、主动删除和删除日志</w:t>
            </w:r>
          </w:p>
        </w:tc>
      </w:tr>
    </w:tbl>
    <w:p>
      <w:pPr>
        <w:spacing w:after="20"/>
      </w:pPr>
    </w:p>
    <w:p>
      <w:pPr>
        <w:pStyle w:val="Heading1"/>
      </w:pPr>
      <w:r>
        <w:t>安全验收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本地端口不能从局域网其他设备访问。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SQLite、日志、崩溃报告和导出文件中不出现明文API Key。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严格离线模式通过网络抓包验证无外部请求。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外发日志能对应到项目、文档页码、模型和时间。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远端文件删除失败会进入重试队列并提示用户。</w:t>
      </w:r>
    </w:p>
    <w:p>
      <w:pPr>
        <w:keepLines/>
        <w:ind w:left="369" w:hanging="198"/>
        <w:jc w:val="left"/>
      </w:pPr>
      <w:r>
        <w:rPr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>删除项目必须二次确认，并优先提供可恢复的回收站策略。</w:t>
      </w:r>
    </w:p>
    <w:p>
      <w:pPr>
        <w:pStyle w:val="Heading1"/>
      </w:pPr>
      <w:r>
        <w:t>发布条件</w:t>
      </w:r>
    </w:p>
    <w:p>
      <w:pPr>
        <w:pStyle w:val="ListNumber"/>
      </w:pPr>
      <w:r>
        <w:rPr>
          <w:rFonts w:ascii="Microsoft YaHei" w:hAnsi="Microsoft YaHei" w:eastAsia="Microsoft YaHei"/>
        </w:rPr>
        <w:t>所有P0功能验收通过，无阻塞级缺陷。</w:t>
      </w:r>
    </w:p>
    <w:p>
      <w:pPr>
        <w:pStyle w:val="ListNumber"/>
      </w:pPr>
      <w:r>
        <w:rPr>
          <w:rFonts w:ascii="Microsoft YaHei" w:hAnsi="Microsoft YaHei" w:eastAsia="Microsoft YaHei"/>
        </w:rPr>
        <w:t>性能验收P01至P07全部通过，并附基准设备信息。</w:t>
      </w:r>
    </w:p>
    <w:p>
      <w:pPr>
        <w:pStyle w:val="ListNumber"/>
      </w:pPr>
      <w:r>
        <w:rPr>
          <w:rFonts w:ascii="Microsoft YaHei" w:hAnsi="Microsoft YaHei" w:eastAsia="Microsoft YaHei"/>
        </w:rPr>
        <w:t>至少两家文本模型和两家视觉模型完成兼容测试。</w:t>
      </w:r>
    </w:p>
    <w:p>
      <w:pPr>
        <w:pStyle w:val="ListNumber"/>
      </w:pPr>
      <w:r>
        <w:rPr>
          <w:rFonts w:ascii="Microsoft YaHei" w:hAnsi="Microsoft YaHei" w:eastAsia="Microsoft YaHei"/>
        </w:rPr>
        <w:t>第三方许可证、版本、源码地址和版权声明归档完成。</w:t>
      </w:r>
    </w:p>
    <w:p>
      <w:pPr>
        <w:pStyle w:val="ListNumber"/>
      </w:pPr>
      <w:r>
        <w:rPr>
          <w:rFonts w:ascii="Microsoft YaHei" w:hAnsi="Microsoft YaHei" w:eastAsia="Microsoft YaHei"/>
        </w:rPr>
        <w:t>安装、升级、备份、恢复和卸载流程均完成一次实机演练。</w:t>
      </w:r>
    </w:p>
    <w:p>
      <w:pPr>
        <w:pStyle w:val="ListNumber"/>
      </w:pPr>
      <w:r>
        <w:rPr>
          <w:rFonts w:ascii="Microsoft YaHei" w:hAnsi="Microsoft YaHei" w:eastAsia="Microsoft YaHei"/>
        </w:rPr>
        <w:t>使用真实资料前，用户已确认外部API数据处理政策和项目敏感等级。</w:t>
      </w:r>
    </w:p>
    <w:p>
      <w:pPr>
        <w:pStyle w:val="ListNumber"/>
      </w:pPr>
      <w:r>
        <w:rPr>
          <w:rFonts w:ascii="Microsoft YaHei" w:hAnsi="Microsoft YaHei" w:eastAsia="Microsoft YaHei"/>
        </w:rPr>
        <w:t>审计人员完成风险清单、证据跳转、访谈提纲和报告导出的业务验收。</w:t>
      </w:r>
    </w:p>
    <w:p>
      <w:r>
        <w:br w:type="page"/>
      </w:r>
    </w:p>
    <w:p>
      <w:pPr>
        <w:pStyle w:val="Heading1"/>
      </w:pPr>
      <w:r>
        <w:t>交付清单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268"/>
        <w:gridCol w:w="6803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6803"/>
            <w:shd w:fill="17365D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Windows安装包</w:t>
            </w:r>
          </w:p>
        </w:tc>
        <w:tc>
          <w:tcPr>
            <w:tcW w:type="dxa" w:w="68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应用程序、运行时和卸载程序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配置说明</w:t>
            </w:r>
          </w:p>
        </w:tc>
        <w:tc>
          <w:tcPr>
            <w:tcW w:type="dxa" w:w="68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模型服务商、密钥、存储路径和资源上限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用户手册</w:t>
            </w:r>
          </w:p>
        </w:tc>
        <w:tc>
          <w:tcPr>
            <w:tcW w:type="dxa" w:w="68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项目、上传、分析、复核、导出、备份和离线模式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测试报告</w:t>
            </w:r>
          </w:p>
        </w:tc>
        <w:tc>
          <w:tcPr>
            <w:tcW w:type="dxa" w:w="68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功能、模型兼容、性能、安全和恢复结果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第三方声明</w:t>
            </w:r>
          </w:p>
        </w:tc>
        <w:tc>
          <w:tcPr>
            <w:tcW w:type="dxa" w:w="68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依赖名称、版本、许可证、源码地址和修改说明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数据字典</w:t>
            </w:r>
          </w:p>
        </w:tc>
        <w:tc>
          <w:tcPr>
            <w:tcW w:type="dxa" w:w="68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SQLite表、DuckDB表、字段和索引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接口文档</w:t>
            </w:r>
          </w:p>
        </w:tc>
        <w:tc>
          <w:tcPr>
            <w:tcW w:type="dxa" w:w="68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本地API、模型适配器和导出接口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模板包</w:t>
            </w:r>
          </w:p>
        </w:tc>
        <w:tc>
          <w:tcPr>
            <w:tcW w:type="dxa" w:w="68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6F8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sz w:val="17"/>
              </w:rPr>
              <w:t>风险清单、管理层材料和证据包模板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1134" w:right="1219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t>开发计划与验收标准  版本 1.0  2026年9月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04_AI财务审计分析平台_MVP开发计划与验收标准</dc:title>
  <dc:subject>AI财务审计分析平台MVP开发文档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