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第五章可视化图件插入版</w:t>
      </w:r>
    </w:p>
    <w:p>
      <w:pPr>
        <w:jc w:val="center"/>
      </w:pPr>
      <w:r>
        <w:rPr>
          <w:rFonts w:ascii="黑体" w:hAnsi="黑体" w:eastAsia="黑体"/>
          <w:b w:val="0"/>
          <w:sz w:val="26"/>
        </w:rPr>
        <w:t>成都市武侯区地铁物流配送转运点布局优化研究</w:t>
      </w:r>
    </w:p>
    <w:p>
      <w:r>
        <w:t>本文件汇总插入第五章结果分析所需的可视化图件。图题编号中的“图5-X”需在并入论文正文后按最终顺序统一调整。本修正版已将消融实验图中的核心创新算法名称统一为 QVNS-NSGA-II。</w:t>
      </w:r>
    </w:p>
    <w:p>
      <w:pPr>
        <w:pStyle w:val="Heading1"/>
      </w:pPr>
      <w:r>
        <w:t>图件清单与建议放置位置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图件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文件名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建议位置/用途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不同偏好权重情景下的 Pareto 解集方案选择位置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fig_01_pareto_weight_scenario_selection.png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5.3.3，用于说明成本偏好、均衡偏好/默认方案和服务偏好三类方案均来源于同一 Pareto 解集。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不同偏好权重情景下布局方案关键指标对比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fig_02_weight_scenario_key_metrics.png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5.3.3，用于展示权重偏好变化对综合成本、地铁服务比例、地铁联运量和公路直送量的影响。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不同偏好权重情景下综合成本构成对比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fig_03_weight_scenario_cost_composition.png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5.3.3，用于解释三类方案的固定启用成本、公路运输成本、地铁干线成本及相关作业成本构成。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不同布局方案与全公路基准方案的关键指标对比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fig_04_road_baseline_scheme_comparison.png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5.3.3 或全公路基准对比段落，用于说明地铁联运方案相对全公路直送方案的成本、服务比例、直送量和碳排放差异。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折中方案启用转运点负载率诊断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fig_05_compromise_station_load.png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5.3.3，用于检验启用地铁物流配送转运点的作业容量约束与负载均衡状态。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折中方案地铁线路平峰期班次装载能力占用热力图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fig_06_line_trip_capacity_heatmap.png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5.3.3，用于展示货流对各线路平峰期可用班次能力的占用关系。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QVNS-NSGA-II 与典型多目标优化算法性能对比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fig_07_algorithm_performance_metrics.png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5.3.4，用于比较 HV、IGD、Spacing 和运行时间等算法性能指标。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QVNS-NSGA-II 消融实验性能对比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fig_08_ablation_mechanism_comparison.png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5.3.4 或消融实验段落，用于说明 VNS、Q-learning 与档案保护机制的综合作用。图中核心创新算法统一标注为 QVNS-NSGA-II。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不同参数情景下 TOPSIS 方案成本与服务响应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fig_09_sensitivity_cost_service_response.png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5.4，用于综合展示需求规模、末端服务半径和货源比例变化下的敏感性结果。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QVNS-NSGA-II 算法迭代搜索过程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fig_10_qvns_training_process.png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5.3.4 或附录，用于说明算法搜索过程、档案规模和探索率变化。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图5-X TOPSIS 折中方案空间布局与末端需求分配关系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fig_11_compromise_spatial_layout_reference.png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0"/>
              </w:rPr>
              <w:t>建议放置于 5.3.3，用于展示均衡偏好/默认方案下启用转运点、末端需求点和空间分配关系。</w:t>
            </w:r>
          </w:p>
        </w:tc>
      </w:tr>
    </w:tbl>
    <w:p>
      <w:r>
        <w:br w:type="page"/>
      </w:r>
    </w:p>
    <w:p>
      <w:pPr>
        <w:pStyle w:val="Heading1"/>
      </w:pPr>
      <w:r>
        <w:t>第 1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5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pareto_weight_scenario_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不同偏好权重情景下的 Pareto 解集方案选择位置</w:t>
      </w:r>
    </w:p>
    <w:p>
      <w:pPr>
        <w:ind w:firstLine="420"/>
      </w:pPr>
      <w:r>
        <w:t>图注建议：建议放置于 5.3.3，用于说明成本偏好、均衡偏好/默认方案和服务偏好三类方案均来源于同一 Pareto 解集。</w:t>
      </w:r>
    </w:p>
    <w:p>
      <w:r>
        <w:br w:type="page"/>
      </w:r>
    </w:p>
    <w:p>
      <w:pPr>
        <w:pStyle w:val="Heading1"/>
      </w:pPr>
      <w:r>
        <w:t>第 2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50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weight_scenario_key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不同偏好权重情景下布局方案关键指标对比</w:t>
      </w:r>
    </w:p>
    <w:p>
      <w:pPr>
        <w:ind w:firstLine="420"/>
      </w:pPr>
      <w:r>
        <w:t>图注建议：建议放置于 5.3.3，用于展示权重偏好变化对综合成本、地铁服务比例、地铁联运量和公路直送量的影响。</w:t>
      </w:r>
    </w:p>
    <w:p>
      <w:r>
        <w:br w:type="page"/>
      </w:r>
    </w:p>
    <w:p>
      <w:pPr>
        <w:pStyle w:val="Heading1"/>
      </w:pPr>
      <w:r>
        <w:t>第 3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47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weight_scenario_cost_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不同偏好权重情景下综合成本构成对比</w:t>
      </w:r>
    </w:p>
    <w:p>
      <w:pPr>
        <w:ind w:firstLine="420"/>
      </w:pPr>
      <w:r>
        <w:t>图注建议：建议放置于 5.3.3，用于解释三类方案的固定启用成本、公路运输成本、地铁干线成本及相关作业成本构成。</w:t>
      </w:r>
    </w:p>
    <w:p>
      <w:r>
        <w:br w:type="page"/>
      </w:r>
    </w:p>
    <w:p>
      <w:pPr>
        <w:pStyle w:val="Heading1"/>
      </w:pPr>
      <w:r>
        <w:t>第 4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28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road_baseline_schem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不同布局方案与全公路基准方案的关键指标对比</w:t>
      </w:r>
    </w:p>
    <w:p>
      <w:pPr>
        <w:ind w:firstLine="420"/>
      </w:pPr>
      <w:r>
        <w:t>图注建议：建议放置于 5.3.3 或全公路基准对比段落，用于说明地铁联运方案相对全公路直送方案的成本、服务比例、直送量和碳排放差异。</w:t>
      </w:r>
    </w:p>
    <w:p>
      <w:r>
        <w:br w:type="page"/>
      </w:r>
    </w:p>
    <w:p>
      <w:pPr>
        <w:pStyle w:val="Heading1"/>
      </w:pPr>
      <w:r>
        <w:t>第 5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66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compromise_station_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折中方案启用转运点负载率诊断</w:t>
      </w:r>
    </w:p>
    <w:p>
      <w:pPr>
        <w:ind w:firstLine="420"/>
      </w:pPr>
      <w:r>
        <w:t>图注建议：建议放置于 5.3.3，用于检验启用地铁物流配送转运点的作业容量约束与负载均衡状态。</w:t>
      </w:r>
    </w:p>
    <w:p>
      <w:r>
        <w:br w:type="page"/>
      </w:r>
    </w:p>
    <w:p>
      <w:pPr>
        <w:pStyle w:val="Heading1"/>
      </w:pPr>
      <w:r>
        <w:t>第 6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31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line_trip_capacity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折中方案地铁线路平峰期班次装载能力占用热力图</w:t>
      </w:r>
    </w:p>
    <w:p>
      <w:pPr>
        <w:ind w:firstLine="420"/>
      </w:pPr>
      <w:r>
        <w:t>图注建议：建议放置于 5.3.3，用于展示货流对各线路平峰期可用班次能力的占用关系。</w:t>
      </w:r>
    </w:p>
    <w:p>
      <w:r>
        <w:br w:type="page"/>
      </w:r>
    </w:p>
    <w:p>
      <w:pPr>
        <w:pStyle w:val="Heading1"/>
      </w:pPr>
      <w:r>
        <w:t>第 7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18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algorithm_performance_metr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QVNS-NSGA-II 与典型多目标优化算法性能对比</w:t>
      </w:r>
    </w:p>
    <w:p>
      <w:pPr>
        <w:ind w:firstLine="420"/>
      </w:pPr>
      <w:r>
        <w:t>图注建议：建议放置于 5.3.4，用于比较 HV、IGD、Spacing 和运行时间等算法性能指标。</w:t>
      </w:r>
    </w:p>
    <w:p>
      <w:r>
        <w:br w:type="page"/>
      </w:r>
    </w:p>
    <w:p>
      <w:pPr>
        <w:pStyle w:val="Heading1"/>
      </w:pPr>
      <w:r>
        <w:t>第 8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541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ablation_mechanism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QVNS-NSGA-II 消融实验性能对比</w:t>
      </w:r>
    </w:p>
    <w:p>
      <w:pPr>
        <w:ind w:firstLine="420"/>
      </w:pPr>
      <w:r>
        <w:t>图注建议：建议放置于 5.3.4 或消融实验段落，用于说明 VNS、Q-learning 与档案保护机制的综合作用。图中核心创新算法统一标注为 QVNS-NSGA-II。</w:t>
      </w:r>
    </w:p>
    <w:p>
      <w:r>
        <w:br w:type="page"/>
      </w:r>
    </w:p>
    <w:p>
      <w:pPr>
        <w:pStyle w:val="Heading1"/>
      </w:pPr>
      <w:r>
        <w:t>第 9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611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sensitivity_cost_service_respo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不同参数情景下 TOPSIS 方案成本与服务响应</w:t>
      </w:r>
    </w:p>
    <w:p>
      <w:pPr>
        <w:ind w:firstLine="420"/>
      </w:pPr>
      <w:r>
        <w:t>图注建议：建议放置于 5.4，用于综合展示需求规模、末端服务半径和货源比例变化下的敏感性结果。</w:t>
      </w:r>
    </w:p>
    <w:p>
      <w:r>
        <w:br w:type="page"/>
      </w:r>
    </w:p>
    <w:p>
      <w:pPr>
        <w:pStyle w:val="Heading1"/>
      </w:pPr>
      <w:r>
        <w:t>第 10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32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qvns_training_pro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QVNS-NSGA-II 算法迭代搜索过程</w:t>
      </w:r>
    </w:p>
    <w:p>
      <w:pPr>
        <w:ind w:firstLine="420"/>
      </w:pPr>
      <w:r>
        <w:t>图注建议：建议放置于 5.3.4 或附录，用于说明算法搜索过程、档案规模和探索率变化。</w:t>
      </w:r>
    </w:p>
    <w:p>
      <w:r>
        <w:br w:type="page"/>
      </w:r>
    </w:p>
    <w:p>
      <w:pPr>
        <w:pStyle w:val="Heading1"/>
      </w:pPr>
      <w:r>
        <w:t>第 11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550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compromise_spatial_layout_refer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TOPSIS 折中方案空间布局与末端需求分配关系</w:t>
      </w:r>
    </w:p>
    <w:p>
      <w:pPr>
        <w:ind w:firstLine="420"/>
      </w:pPr>
      <w:r>
        <w:t>图注建议：建议放置于 5.3.3，用于展示均衡偏好/默认方案下启用转运点、末端需求点和空间分配关系。</w:t>
      </w:r>
    </w:p>
    <w:p>
      <w:r>
        <w:br w:type="page"/>
      </w:r>
    </w:p>
    <w:p>
      <w:pPr>
        <w:pStyle w:val="Heading1"/>
      </w:pPr>
      <w:r>
        <w:t>数据来源与复现说明</w:t>
      </w:r>
    </w:p>
    <w:p>
      <w:r>
        <w:t>图件由 ch5_visual_updates 目录中的 generate_ch5_echarts_style_figures.py 生成。</w:t>
      </w:r>
    </w:p>
    <w:p>
      <w:r>
        <w:t>消融实验图件已将原始结果中的 原始消融实验变体 显示标签统一更正为 QVNS-NSGA-II；该处理仅调整论文展示术语，不改变原始实验数据。</w:t>
      </w:r>
    </w:p>
    <w:p>
      <w:r>
        <w:t>权重情景数据来自 results/5.20/weight_scenario_topsis_final_solutions.csv。</w:t>
      </w:r>
    </w:p>
    <w:p>
      <w:r>
        <w:t>Pareto 解集、站点负载、线路班次负载、全公路基准对比和敏感性分析数据来自 results/chapter5_q11_results。</w:t>
      </w:r>
    </w:p>
    <w:p>
      <w:r>
        <w:t>算法性能对比数据来自 results/chapter5_algorithm_comparison；消融实验数据来自 results/chapter5_ablation_experiment_5.16。</w:t>
      </w:r>
    </w:p>
    <w:p>
      <w:r>
        <w:t>图件风格参考 ECharts 示例页，采用白底、浅灰网格、ECharts 风格分类配色和统一字体层级。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