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写作前说明</w:t>
      </w:r>
    </w:p>
    <w:p>
      <w:pPr>
        <w:spacing w:line="360" w:lineRule="auto" w:after="0"/>
        <w:ind w:firstLine="420"/>
      </w:pPr>
      <w:r>
        <w:rPr>
          <w:rFonts w:ascii="Times New Roman" w:hAnsi="Times New Roman" w:eastAsia="宋体"/>
          <w:b w:val="0"/>
          <w:sz w:val="21"/>
        </w:rPr>
        <w:t>本章初稿基于当前可读取的本地材料、第五章既有修订稿、项目 `data`、`code` 与 `results` 目录中的参数和实验结果撰写。当前环境可读取 Word、PDF、CSV 与代码文件，可调用本地 MCP 工具与论文写作、Word 处理、地铁物流论文工作流等 skills；联网能力可用，但本稿主要依据用户提供的本地材料与结果文件，未额外引入未经核验的新数据。三个 PDF 参考文献可作为研究逻辑、术语体系和章节组织方式的参照，但其具体页码、引文格式和个别结论仍建议在最终定稿前逐条核验。</w:t>
      </w:r>
    </w:p>
    <w:p>
      <w:pPr>
        <w:spacing w:line="360" w:lineRule="auto" w:after="0"/>
        <w:ind w:firstLine="420"/>
      </w:pPr>
      <w:r>
        <w:rPr>
          <w:rFonts w:ascii="Times New Roman" w:hAnsi="Times New Roman" w:eastAsia="宋体"/>
          <w:b w:val="0"/>
          <w:sz w:val="21"/>
        </w:rPr>
        <w:t>本章不虚构实验结果。凡当前材料中尚未给出或需与原始图件、统计年鉴、企业数据口径进一步核对的内容，均以“待补充”或“待核验”标注。后续定稿时，应重点补充图件编号、原始数据来源页码、统计口径说明以及与第四章公式编号的一致性检查。</w:t>
      </w:r>
    </w:p>
    <w:p>
      <w:pPr>
        <w:pStyle w:val="Heading1"/>
        <w:jc w:val="center"/>
      </w:pPr>
      <w:r>
        <w:t>第五章 成都市武侯区地铁物流配送转运点布局优化研究</w:t>
      </w:r>
    </w:p>
    <w:p>
      <w:pPr>
        <w:spacing w:line="360" w:lineRule="auto" w:after="0"/>
        <w:ind w:firstLine="420"/>
      </w:pPr>
      <w:r>
        <w:rPr>
          <w:rFonts w:ascii="Times New Roman" w:hAnsi="Times New Roman" w:eastAsia="宋体"/>
          <w:b w:val="0"/>
          <w:sz w:val="21"/>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pPr>
        <w:spacing w:line="360" w:lineRule="auto" w:after="0"/>
        <w:ind w:firstLine="420"/>
      </w:pPr>
      <w:r>
        <w:rPr>
          <w:rFonts w:ascii="Times New Roman" w:hAnsi="Times New Roman" w:eastAsia="宋体"/>
          <w:b w:val="0"/>
          <w:sz w:val="21"/>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pPr>
        <w:pStyle w:val="Heading2"/>
      </w:pPr>
      <w:r>
        <w:t>5.1 案例区域与基础数据</w:t>
      </w:r>
    </w:p>
    <w:p>
      <w:pPr>
        <w:pStyle w:val="Heading3"/>
      </w:pPr>
      <w:r>
        <w:t>5.1.1 案例区域概况</w:t>
      </w:r>
    </w:p>
    <w:p>
      <w:pPr>
        <w:spacing w:line="360" w:lineRule="auto" w:after="0"/>
        <w:ind w:firstLine="420"/>
      </w:pPr>
      <w:r>
        <w:rPr>
          <w:rFonts w:ascii="Times New Roman" w:hAnsi="Times New Roman" w:eastAsia="宋体"/>
          <w:b w:val="0"/>
          <w:sz w:val="21"/>
        </w:rPr>
        <w:t>成都市武侯区位于成都市中心城区南部，是居住、商务办公、公共服务与商业消费活动高度集聚的典型中心城区之一。该区域末端配送需求密度较高，城市道路资源约束明显，快递包裹在高峰时段的地面通行效率、装卸组织和末端服务稳定性均面临一定压力。与此同时，武侯区及其周边与多条城市轨道交通线路联系紧密，地铁站点分布较为密集，具备利用平峰期剩余运能组织城市配送货流的空间基础。</w:t>
      </w:r>
    </w:p>
    <w:p>
      <w:pPr>
        <w:spacing w:line="360" w:lineRule="auto" w:after="0"/>
        <w:ind w:firstLine="420"/>
      </w:pPr>
      <w:r>
        <w:rPr>
          <w:rFonts w:ascii="Times New Roman" w:hAnsi="Times New Roman" w:eastAsia="宋体"/>
          <w:b w:val="0"/>
          <w:sz w:val="21"/>
        </w:rPr>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pPr>
        <w:spacing w:line="360" w:lineRule="auto" w:after="0"/>
        <w:ind w:firstLine="420"/>
      </w:pPr>
      <w:r>
        <w:rPr>
          <w:rFonts w:ascii="Times New Roman" w:hAnsi="Times New Roman" w:eastAsia="宋体"/>
          <w:b w:val="0"/>
          <w:sz w:val="21"/>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pPr>
        <w:pStyle w:val="Heading3"/>
      </w:pPr>
      <w:r>
        <w:t>5.1.2 数据收集与处理</w:t>
      </w:r>
    </w:p>
    <w:p>
      <w:pPr>
        <w:spacing w:line="360" w:lineRule="auto" w:after="0"/>
        <w:ind w:firstLine="420"/>
      </w:pPr>
      <w:r>
        <w:rPr>
          <w:rFonts w:ascii="Times New Roman" w:hAnsi="Times New Roman" w:eastAsia="宋体"/>
          <w:b w:val="0"/>
          <w:sz w:val="21"/>
        </w:rPr>
        <w:t>本章数据主要包括四类：一是案例区域地铁站点、线路和换乘关系数据，用于构建地铁线网拓扑并计算站点网络属性；二是顺丰营业网点及物流园区数据，用于生成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服务半径、平峰期列车可用班次数、单趟列车可用装载能力、成本参数、碳排放参数和 QVNS-NSGA-II 算法参数。</w:t>
      </w:r>
    </w:p>
    <w:p>
      <w:pPr>
        <w:spacing w:line="360" w:lineRule="auto" w:after="0"/>
        <w:ind w:firstLine="420"/>
      </w:pPr>
      <w:r>
        <w:rPr>
          <w:rFonts w:ascii="Times New Roman" w:hAnsi="Times New Roman" w:eastAsia="宋体"/>
          <w:b w:val="0"/>
          <w:sz w:val="21"/>
        </w:rPr>
        <w:t>表 5-1 概括了本章使用的主要数据及其用途。后续定稿时，应补充各类数据的精确采集时间、原始来源、坐标系统、清洗规则和异常值处理方式，以满足硕士论文盲审对数据可追溯性的要求。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spacing w:after="0"/>
            </w:pPr>
            <w:r>
              <w:rPr>
                <w:rFonts w:ascii="Times New Roman" w:hAnsi="Times New Roman" w:eastAsia="宋体"/>
                <w:b/>
                <w:sz w:val="18"/>
              </w:rPr>
              <w:t>数据类别</w:t>
            </w:r>
          </w:p>
        </w:tc>
        <w:tc>
          <w:tcPr>
            <w:tcW w:type="dxa" w:w="2078"/>
            <w:vAlign w:val="center"/>
          </w:tcPr>
          <w:p>
            <w:pPr>
              <w:spacing w:after="0"/>
            </w:pPr>
            <w:r>
              <w:rPr>
                <w:rFonts w:ascii="Times New Roman" w:hAnsi="Times New Roman" w:eastAsia="宋体"/>
                <w:b/>
                <w:sz w:val="18"/>
              </w:rPr>
              <w:t>主要内容</w:t>
            </w:r>
          </w:p>
        </w:tc>
        <w:tc>
          <w:tcPr>
            <w:tcW w:type="dxa" w:w="2078"/>
            <w:vAlign w:val="center"/>
          </w:tcPr>
          <w:p>
            <w:pPr>
              <w:spacing w:after="0"/>
            </w:pPr>
            <w:r>
              <w:rPr>
                <w:rFonts w:ascii="Times New Roman" w:hAnsi="Times New Roman" w:eastAsia="宋体"/>
                <w:b/>
                <w:sz w:val="18"/>
              </w:rPr>
              <w:t>用途</w:t>
            </w:r>
          </w:p>
        </w:tc>
        <w:tc>
          <w:tcPr>
            <w:tcW w:type="dxa" w:w="2078"/>
            <w:vAlign w:val="center"/>
          </w:tcPr>
          <w:p>
            <w:pPr>
              <w:spacing w:after="0"/>
            </w:pPr>
            <w:r>
              <w:rPr>
                <w:rFonts w:ascii="Times New Roman" w:hAnsi="Times New Roman" w:eastAsia="宋体"/>
                <w:b/>
                <w:sz w:val="18"/>
              </w:rPr>
              <w:t>当前状态</w:t>
            </w:r>
          </w:p>
        </w:tc>
      </w:tr>
      <w:tr>
        <w:tc>
          <w:tcPr>
            <w:tcW w:type="dxa" w:w="2078"/>
            <w:vAlign w:val="center"/>
          </w:tcPr>
          <w:p>
            <w:pPr>
              <w:spacing w:after="0"/>
            </w:pPr>
            <w:r>
              <w:rPr>
                <w:rFonts w:ascii="Times New Roman" w:hAnsi="Times New Roman" w:eastAsia="宋体"/>
                <w:b w:val="0"/>
                <w:sz w:val="18"/>
              </w:rPr>
              <w:t>地铁线网数据</w:t>
            </w:r>
          </w:p>
        </w:tc>
        <w:tc>
          <w:tcPr>
            <w:tcW w:type="dxa" w:w="2078"/>
            <w:vAlign w:val="center"/>
          </w:tcPr>
          <w:p>
            <w:pPr>
              <w:spacing w:after="0"/>
            </w:pPr>
            <w:r>
              <w:rPr>
                <w:rFonts w:ascii="Times New Roman" w:hAnsi="Times New Roman" w:eastAsia="宋体"/>
                <w:b w:val="0"/>
                <w:sz w:val="18"/>
              </w:rPr>
              <w:t>站点、线路、换乘关系、站点所属线路</w:t>
            </w:r>
          </w:p>
        </w:tc>
        <w:tc>
          <w:tcPr>
            <w:tcW w:type="dxa" w:w="2078"/>
            <w:vAlign w:val="center"/>
          </w:tcPr>
          <w:p>
            <w:pPr>
              <w:spacing w:after="0"/>
            </w:pPr>
            <w:r>
              <w:rPr>
                <w:rFonts w:ascii="Times New Roman" w:hAnsi="Times New Roman" w:eastAsia="宋体"/>
                <w:b w:val="0"/>
                <w:sz w:val="18"/>
              </w:rPr>
              <w:t>构建 Space-L 拓扑，计算网络中心性和路径约束</w:t>
            </w:r>
          </w:p>
        </w:tc>
        <w:tc>
          <w:tcPr>
            <w:tcW w:type="dxa" w:w="2078"/>
            <w:vAlign w:val="center"/>
          </w:tcPr>
          <w:p>
            <w:pPr>
              <w:spacing w:after="0"/>
            </w:pPr>
            <w:r>
              <w:rPr>
                <w:rFonts w:ascii="Times New Roman" w:hAnsi="Times New Roman" w:eastAsia="宋体"/>
                <w:b w:val="0"/>
                <w:sz w:val="18"/>
              </w:rPr>
              <w:t>已用于模型计算，原始来源待核验</w:t>
            </w:r>
          </w:p>
        </w:tc>
      </w:tr>
      <w:tr>
        <w:tc>
          <w:tcPr>
            <w:tcW w:type="dxa" w:w="2078"/>
            <w:vAlign w:val="center"/>
          </w:tcPr>
          <w:p>
            <w:pPr>
              <w:spacing w:after="0"/>
            </w:pPr>
            <w:r>
              <w:rPr>
                <w:rFonts w:ascii="Times New Roman" w:hAnsi="Times New Roman" w:eastAsia="宋体"/>
                <w:b w:val="0"/>
                <w:sz w:val="18"/>
              </w:rPr>
              <w:t>末端需求数据</w:t>
            </w:r>
          </w:p>
        </w:tc>
        <w:tc>
          <w:tcPr>
            <w:tcW w:type="dxa" w:w="2078"/>
            <w:vAlign w:val="center"/>
          </w:tcPr>
          <w:p>
            <w:pPr>
              <w:spacing w:after="0"/>
            </w:pPr>
            <w:r>
              <w:rPr>
                <w:rFonts w:ascii="Times New Roman" w:hAnsi="Times New Roman" w:eastAsia="宋体"/>
                <w:b w:val="0"/>
                <w:sz w:val="18"/>
              </w:rPr>
              <w:t>78 个顺丰营业网点及需求量</w:t>
            </w:r>
          </w:p>
        </w:tc>
        <w:tc>
          <w:tcPr>
            <w:tcW w:type="dxa" w:w="2078"/>
            <w:vAlign w:val="center"/>
          </w:tcPr>
          <w:p>
            <w:pPr>
              <w:spacing w:after="0"/>
            </w:pPr>
            <w:r>
              <w:rPr>
                <w:rFonts w:ascii="Times New Roman" w:hAnsi="Times New Roman" w:eastAsia="宋体"/>
                <w:b w:val="0"/>
                <w:sz w:val="18"/>
              </w:rPr>
              <w:t>构造末端需求点集合和 OD 货流</w:t>
            </w:r>
          </w:p>
        </w:tc>
        <w:tc>
          <w:tcPr>
            <w:tcW w:type="dxa" w:w="2078"/>
            <w:vAlign w:val="center"/>
          </w:tcPr>
          <w:p>
            <w:pPr>
              <w:spacing w:after="0"/>
            </w:pPr>
            <w:r>
              <w:rPr>
                <w:rFonts w:ascii="Times New Roman" w:hAnsi="Times New Roman" w:eastAsia="宋体"/>
                <w:b w:val="0"/>
                <w:sz w:val="18"/>
              </w:rPr>
              <w:t>已形成基准需求，来源说明待补充</w:t>
            </w:r>
          </w:p>
        </w:tc>
      </w:tr>
      <w:tr>
        <w:tc>
          <w:tcPr>
            <w:tcW w:type="dxa" w:w="2078"/>
            <w:vAlign w:val="center"/>
          </w:tcPr>
          <w:p>
            <w:pPr>
              <w:spacing w:after="0"/>
            </w:pPr>
            <w:r>
              <w:rPr>
                <w:rFonts w:ascii="Times New Roman" w:hAnsi="Times New Roman" w:eastAsia="宋体"/>
                <w:b w:val="0"/>
                <w:sz w:val="18"/>
              </w:rPr>
              <w:t>物流园区数据</w:t>
            </w:r>
          </w:p>
        </w:tc>
        <w:tc>
          <w:tcPr>
            <w:tcW w:type="dxa" w:w="2078"/>
            <w:vAlign w:val="center"/>
          </w:tcPr>
          <w:p>
            <w:pPr>
              <w:spacing w:after="0"/>
            </w:pPr>
            <w:r>
              <w:rPr>
                <w:rFonts w:ascii="Times New Roman" w:hAnsi="Times New Roman" w:eastAsia="宋体"/>
                <w:b w:val="0"/>
                <w:sz w:val="18"/>
              </w:rPr>
              <w:t>顺丰丰泰产业园、顺丰丰泰产业园成都天府及接入站</w:t>
            </w:r>
          </w:p>
        </w:tc>
        <w:tc>
          <w:tcPr>
            <w:tcW w:type="dxa" w:w="2078"/>
            <w:vAlign w:val="center"/>
          </w:tcPr>
          <w:p>
            <w:pPr>
              <w:spacing w:after="0"/>
            </w:pPr>
            <w:r>
              <w:rPr>
                <w:rFonts w:ascii="Times New Roman" w:hAnsi="Times New Roman" w:eastAsia="宋体"/>
                <w:b w:val="0"/>
                <w:sz w:val="18"/>
              </w:rPr>
              <w:t>确定起点层与入网短驳关系</w:t>
            </w:r>
          </w:p>
        </w:tc>
        <w:tc>
          <w:tcPr>
            <w:tcW w:type="dxa" w:w="2078"/>
            <w:vAlign w:val="center"/>
          </w:tcPr>
          <w:p>
            <w:pPr>
              <w:spacing w:after="0"/>
            </w:pPr>
            <w:r>
              <w:rPr>
                <w:rFonts w:ascii="Times New Roman" w:hAnsi="Times New Roman" w:eastAsia="宋体"/>
                <w:b w:val="0"/>
                <w:sz w:val="18"/>
              </w:rPr>
              <w:t>已标定</w:t>
            </w:r>
          </w:p>
        </w:tc>
      </w:tr>
      <w:tr>
        <w:tc>
          <w:tcPr>
            <w:tcW w:type="dxa" w:w="2078"/>
            <w:vAlign w:val="center"/>
          </w:tcPr>
          <w:p>
            <w:pPr>
              <w:spacing w:after="0"/>
            </w:pPr>
            <w:r>
              <w:rPr>
                <w:rFonts w:ascii="Times New Roman" w:hAnsi="Times New Roman" w:eastAsia="宋体"/>
                <w:b w:val="0"/>
                <w:sz w:val="18"/>
              </w:rPr>
              <w:t>候选站点数据</w:t>
            </w:r>
          </w:p>
        </w:tc>
        <w:tc>
          <w:tcPr>
            <w:tcW w:type="dxa" w:w="2078"/>
            <w:vAlign w:val="center"/>
          </w:tcPr>
          <w:p>
            <w:pPr>
              <w:spacing w:after="0"/>
            </w:pPr>
            <w:r>
              <w:rPr>
                <w:rFonts w:ascii="Times New Roman" w:hAnsi="Times New Roman" w:eastAsia="宋体"/>
                <w:b w:val="0"/>
                <w:sz w:val="18"/>
              </w:rPr>
              <w:t>17 个候选地铁物流配送转运点、容量、成本、排序</w:t>
            </w:r>
          </w:p>
        </w:tc>
        <w:tc>
          <w:tcPr>
            <w:tcW w:type="dxa" w:w="2078"/>
            <w:vAlign w:val="center"/>
          </w:tcPr>
          <w:p>
            <w:pPr>
              <w:spacing w:after="0"/>
            </w:pPr>
            <w:r>
              <w:rPr>
                <w:rFonts w:ascii="Times New Roman" w:hAnsi="Times New Roman" w:eastAsia="宋体"/>
                <w:b w:val="0"/>
                <w:sz w:val="18"/>
              </w:rPr>
              <w:t>支撑第二阶段布局优化</w:t>
            </w:r>
          </w:p>
        </w:tc>
        <w:tc>
          <w:tcPr>
            <w:tcW w:type="dxa" w:w="2078"/>
            <w:vAlign w:val="center"/>
          </w:tcPr>
          <w:p>
            <w:pPr>
              <w:spacing w:after="0"/>
            </w:pPr>
            <w:r>
              <w:rPr>
                <w:rFonts w:ascii="Times New Roman" w:hAnsi="Times New Roman" w:eastAsia="宋体"/>
                <w:b w:val="0"/>
                <w:sz w:val="18"/>
              </w:rPr>
              <w:t>已标定</w:t>
            </w:r>
          </w:p>
        </w:tc>
      </w:tr>
      <w:tr>
        <w:tc>
          <w:tcPr>
            <w:tcW w:type="dxa" w:w="2078"/>
            <w:vAlign w:val="center"/>
          </w:tcPr>
          <w:p>
            <w:pPr>
              <w:spacing w:after="0"/>
            </w:pPr>
            <w:r>
              <w:rPr>
                <w:rFonts w:ascii="Times New Roman" w:hAnsi="Times New Roman" w:eastAsia="宋体"/>
                <w:b w:val="0"/>
                <w:sz w:val="18"/>
              </w:rPr>
              <w:t>成本与容量参数</w:t>
            </w:r>
          </w:p>
        </w:tc>
        <w:tc>
          <w:tcPr>
            <w:tcW w:type="dxa" w:w="2078"/>
            <w:vAlign w:val="center"/>
          </w:tcPr>
          <w:p>
            <w:pPr>
              <w:spacing w:after="0"/>
            </w:pPr>
            <w:r>
              <w:rPr>
                <w:rFonts w:ascii="Times New Roman" w:hAnsi="Times New Roman" w:eastAsia="宋体"/>
                <w:b w:val="0"/>
                <w:sz w:val="18"/>
              </w:rPr>
              <w:t>道路、地铁、短驳、装卸、碳排放、班次能力</w:t>
            </w:r>
          </w:p>
        </w:tc>
        <w:tc>
          <w:tcPr>
            <w:tcW w:type="dxa" w:w="2078"/>
            <w:vAlign w:val="center"/>
          </w:tcPr>
          <w:p>
            <w:pPr>
              <w:spacing w:after="0"/>
            </w:pPr>
            <w:r>
              <w:rPr>
                <w:rFonts w:ascii="Times New Roman" w:hAnsi="Times New Roman" w:eastAsia="宋体"/>
                <w:b w:val="0"/>
                <w:sz w:val="18"/>
              </w:rPr>
              <w:t>进入目标函数和约束体系</w:t>
            </w:r>
          </w:p>
        </w:tc>
        <w:tc>
          <w:tcPr>
            <w:tcW w:type="dxa" w:w="2078"/>
            <w:vAlign w:val="center"/>
          </w:tcPr>
          <w:p>
            <w:pPr>
              <w:spacing w:after="0"/>
            </w:pPr>
            <w:r>
              <w:rPr>
                <w:rFonts w:ascii="Times New Roman" w:hAnsi="Times New Roman" w:eastAsia="宋体"/>
                <w:b w:val="0"/>
                <w:sz w:val="18"/>
              </w:rPr>
              <w:t>已标定</w:t>
            </w:r>
          </w:p>
        </w:tc>
      </w:tr>
      <w:tr>
        <w:tc>
          <w:tcPr>
            <w:tcW w:type="dxa" w:w="2078"/>
            <w:vAlign w:val="center"/>
          </w:tcPr>
          <w:p>
            <w:pPr>
              <w:spacing w:after="0"/>
            </w:pPr>
            <w:r>
              <w:rPr>
                <w:rFonts w:ascii="Times New Roman" w:hAnsi="Times New Roman" w:eastAsia="宋体"/>
                <w:b w:val="0"/>
                <w:sz w:val="18"/>
              </w:rPr>
              <w:t>算法结果数据</w:t>
            </w:r>
          </w:p>
        </w:tc>
        <w:tc>
          <w:tcPr>
            <w:tcW w:type="dxa" w:w="2078"/>
            <w:vAlign w:val="center"/>
          </w:tcPr>
          <w:p>
            <w:pPr>
              <w:spacing w:after="0"/>
            </w:pPr>
            <w:r>
              <w:rPr>
                <w:rFonts w:ascii="Times New Roman" w:hAnsi="Times New Roman" w:eastAsia="宋体"/>
                <w:b w:val="0"/>
                <w:sz w:val="18"/>
              </w:rPr>
              <w:t>Pareto 解集、TOPSIS 折中解、算法对比、敏感性分析</w:t>
            </w:r>
          </w:p>
        </w:tc>
        <w:tc>
          <w:tcPr>
            <w:tcW w:type="dxa" w:w="2078"/>
            <w:vAlign w:val="center"/>
          </w:tcPr>
          <w:p>
            <w:pPr>
              <w:spacing w:after="0"/>
            </w:pPr>
            <w:r>
              <w:rPr>
                <w:rFonts w:ascii="Times New Roman" w:hAnsi="Times New Roman" w:eastAsia="宋体"/>
                <w:b w:val="0"/>
                <w:sz w:val="18"/>
              </w:rPr>
              <w:t>支撑方案评价与机制解释</w:t>
            </w:r>
          </w:p>
        </w:tc>
        <w:tc>
          <w:tcPr>
            <w:tcW w:type="dxa" w:w="2078"/>
            <w:vAlign w:val="center"/>
          </w:tcPr>
          <w:p>
            <w:pPr>
              <w:spacing w:after="0"/>
            </w:pPr>
            <w:r>
              <w:rPr>
                <w:rFonts w:ascii="Times New Roman" w:hAnsi="Times New Roman" w:eastAsia="宋体"/>
                <w:b w:val="0"/>
                <w:sz w:val="18"/>
              </w:rPr>
              <w:t>已生成</w:t>
            </w:r>
          </w:p>
        </w:tc>
      </w:tr>
    </w:tbl>
    <w:p/>
    <w:p>
      <w:pPr>
        <w:spacing w:line="360" w:lineRule="auto" w:after="0"/>
        <w:ind w:firstLine="420"/>
      </w:pPr>
      <w:r>
        <w:rPr>
          <w:rFonts w:ascii="Times New Roman" w:hAnsi="Times New Roman" w:eastAsia="宋体"/>
          <w:b w:val="0"/>
          <w:sz w:val="21"/>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pPr>
        <w:spacing w:line="360" w:lineRule="auto" w:after="0"/>
        <w:ind w:firstLine="420"/>
      </w:pPr>
      <w:r>
        <w:rPr>
          <w:rFonts w:ascii="Times New Roman" w:hAnsi="Times New Roman" w:eastAsia="宋体"/>
          <w:b w:val="0"/>
          <w:sz w:val="21"/>
        </w:rPr>
        <w:t>基准情景下，研究区日均需求规模为 66970.02 SLU/day，顺丰货源占比为 0.10。需求规模情景进一步设置为低需求、基准需求和高需求三类，用于检验模型对需求波动的适应性。两处物流园区的货源比例分别为 0.80 和 0.20，对应接入站分别为双流西站和天府机场北站，接入短驳距离分别为 3.7 km 和 4.2 km。该设置反映了案例企业货源向外围物流园区集聚、再通过入网站进入轨道交通系统的组织方式。</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after="0"/>
            </w:pPr>
            <w:r>
              <w:rPr>
                <w:rFonts w:ascii="Times New Roman" w:hAnsi="Times New Roman" w:eastAsia="宋体"/>
                <w:b/>
                <w:sz w:val="18"/>
              </w:rPr>
              <w:t>情景或节点</w:t>
            </w:r>
          </w:p>
        </w:tc>
        <w:tc>
          <w:tcPr>
            <w:tcW w:type="dxa" w:w="2771"/>
            <w:vAlign w:val="center"/>
          </w:tcPr>
          <w:p>
            <w:pPr>
              <w:spacing w:after="0"/>
            </w:pPr>
            <w:r>
              <w:rPr>
                <w:rFonts w:ascii="Times New Roman" w:hAnsi="Times New Roman" w:eastAsia="宋体"/>
                <w:b/>
                <w:sz w:val="18"/>
              </w:rPr>
              <w:t>数值或说明</w:t>
            </w:r>
          </w:p>
        </w:tc>
        <w:tc>
          <w:tcPr>
            <w:tcW w:type="dxa" w:w="2771"/>
            <w:vAlign w:val="center"/>
          </w:tcPr>
          <w:p>
            <w:pPr>
              <w:spacing w:after="0"/>
            </w:pPr>
            <w:r>
              <w:rPr>
                <w:rFonts w:ascii="Times New Roman" w:hAnsi="Times New Roman" w:eastAsia="宋体"/>
                <w:b/>
                <w:sz w:val="18"/>
              </w:rPr>
              <w:t>单位/口径</w:t>
            </w:r>
          </w:p>
        </w:tc>
      </w:tr>
      <w:tr>
        <w:tc>
          <w:tcPr>
            <w:tcW w:type="dxa" w:w="2771"/>
            <w:vAlign w:val="center"/>
          </w:tcPr>
          <w:p>
            <w:pPr>
              <w:spacing w:after="0"/>
            </w:pPr>
            <w:r>
              <w:rPr>
                <w:rFonts w:ascii="Times New Roman" w:hAnsi="Times New Roman" w:eastAsia="宋体"/>
                <w:b w:val="0"/>
                <w:sz w:val="18"/>
              </w:rPr>
              <w:t>低需求情景</w:t>
            </w:r>
          </w:p>
        </w:tc>
        <w:tc>
          <w:tcPr>
            <w:tcW w:type="dxa" w:w="2771"/>
            <w:vAlign w:val="center"/>
          </w:tcPr>
          <w:p>
            <w:pPr>
              <w:spacing w:after="0"/>
            </w:pPr>
            <w:r>
              <w:rPr>
                <w:rFonts w:ascii="Times New Roman" w:hAnsi="Times New Roman" w:eastAsia="宋体"/>
                <w:b w:val="0"/>
                <w:sz w:val="18"/>
              </w:rPr>
              <w:t>59528.91</w:t>
            </w:r>
          </w:p>
        </w:tc>
        <w:tc>
          <w:tcPr>
            <w:tcW w:type="dxa" w:w="2771"/>
            <w:vAlign w:val="center"/>
          </w:tcPr>
          <w:p>
            <w:pPr>
              <w:spacing w:after="0"/>
            </w:pPr>
            <w:r>
              <w:rPr>
                <w:rFonts w:ascii="Times New Roman" w:hAnsi="Times New Roman" w:eastAsia="宋体"/>
                <w:b w:val="0"/>
                <w:sz w:val="18"/>
              </w:rPr>
              <w:t>SLU/day</w:t>
            </w:r>
          </w:p>
        </w:tc>
      </w:tr>
      <w:tr>
        <w:tc>
          <w:tcPr>
            <w:tcW w:type="dxa" w:w="2771"/>
            <w:vAlign w:val="center"/>
          </w:tcPr>
          <w:p>
            <w:pPr>
              <w:spacing w:after="0"/>
            </w:pPr>
            <w:r>
              <w:rPr>
                <w:rFonts w:ascii="Times New Roman" w:hAnsi="Times New Roman" w:eastAsia="宋体"/>
                <w:b w:val="0"/>
                <w:sz w:val="18"/>
              </w:rPr>
              <w:t>基准需求情景</w:t>
            </w:r>
          </w:p>
        </w:tc>
        <w:tc>
          <w:tcPr>
            <w:tcW w:type="dxa" w:w="2771"/>
            <w:vAlign w:val="center"/>
          </w:tcPr>
          <w:p>
            <w:pPr>
              <w:spacing w:after="0"/>
            </w:pPr>
            <w:r>
              <w:rPr>
                <w:rFonts w:ascii="Times New Roman" w:hAnsi="Times New Roman" w:eastAsia="宋体"/>
                <w:b w:val="0"/>
                <w:sz w:val="18"/>
              </w:rPr>
              <w:t>66970.02</w:t>
            </w:r>
          </w:p>
        </w:tc>
        <w:tc>
          <w:tcPr>
            <w:tcW w:type="dxa" w:w="2771"/>
            <w:vAlign w:val="center"/>
          </w:tcPr>
          <w:p>
            <w:pPr>
              <w:spacing w:after="0"/>
            </w:pPr>
            <w:r>
              <w:rPr>
                <w:rFonts w:ascii="Times New Roman" w:hAnsi="Times New Roman" w:eastAsia="宋体"/>
                <w:b w:val="0"/>
                <w:sz w:val="18"/>
              </w:rPr>
              <w:t>SLU/day</w:t>
            </w:r>
          </w:p>
        </w:tc>
      </w:tr>
      <w:tr>
        <w:tc>
          <w:tcPr>
            <w:tcW w:type="dxa" w:w="2771"/>
            <w:vAlign w:val="center"/>
          </w:tcPr>
          <w:p>
            <w:pPr>
              <w:spacing w:after="0"/>
            </w:pPr>
            <w:r>
              <w:rPr>
                <w:rFonts w:ascii="Times New Roman" w:hAnsi="Times New Roman" w:eastAsia="宋体"/>
                <w:b w:val="0"/>
                <w:sz w:val="18"/>
              </w:rPr>
              <w:t>高需求情景</w:t>
            </w:r>
          </w:p>
        </w:tc>
        <w:tc>
          <w:tcPr>
            <w:tcW w:type="dxa" w:w="2771"/>
            <w:vAlign w:val="center"/>
          </w:tcPr>
          <w:p>
            <w:pPr>
              <w:spacing w:after="0"/>
            </w:pPr>
            <w:r>
              <w:rPr>
                <w:rFonts w:ascii="Times New Roman" w:hAnsi="Times New Roman" w:eastAsia="宋体"/>
                <w:b w:val="0"/>
                <w:sz w:val="18"/>
              </w:rPr>
              <w:t>74411.14</w:t>
            </w:r>
          </w:p>
        </w:tc>
        <w:tc>
          <w:tcPr>
            <w:tcW w:type="dxa" w:w="2771"/>
            <w:vAlign w:val="center"/>
          </w:tcPr>
          <w:p>
            <w:pPr>
              <w:spacing w:after="0"/>
            </w:pPr>
            <w:r>
              <w:rPr>
                <w:rFonts w:ascii="Times New Roman" w:hAnsi="Times New Roman" w:eastAsia="宋体"/>
                <w:b w:val="0"/>
                <w:sz w:val="18"/>
              </w:rPr>
              <w:t>SLU/day</w:t>
            </w:r>
          </w:p>
        </w:tc>
      </w:tr>
      <w:tr>
        <w:tc>
          <w:tcPr>
            <w:tcW w:type="dxa" w:w="2771"/>
            <w:vAlign w:val="center"/>
          </w:tcPr>
          <w:p>
            <w:pPr>
              <w:spacing w:after="0"/>
            </w:pPr>
            <w:r>
              <w:rPr>
                <w:rFonts w:ascii="Times New Roman" w:hAnsi="Times New Roman" w:eastAsia="宋体"/>
                <w:b w:val="0"/>
                <w:sz w:val="18"/>
              </w:rPr>
              <w:t>顺丰货源占比</w:t>
            </w:r>
          </w:p>
        </w:tc>
        <w:tc>
          <w:tcPr>
            <w:tcW w:type="dxa" w:w="2771"/>
            <w:vAlign w:val="center"/>
          </w:tcPr>
          <w:p>
            <w:pPr>
              <w:spacing w:after="0"/>
            </w:pPr>
            <w:r>
              <w:rPr>
                <w:rFonts w:ascii="Times New Roman" w:hAnsi="Times New Roman" w:eastAsia="宋体"/>
                <w:b w:val="0"/>
                <w:sz w:val="18"/>
              </w:rPr>
              <w:t>0.10</w:t>
            </w:r>
          </w:p>
        </w:tc>
        <w:tc>
          <w:tcPr>
            <w:tcW w:type="dxa" w:w="2771"/>
            <w:vAlign w:val="center"/>
          </w:tcPr>
          <w:p>
            <w:pPr>
              <w:spacing w:after="0"/>
            </w:pPr>
            <w:r>
              <w:rPr>
                <w:rFonts w:ascii="Times New Roman" w:hAnsi="Times New Roman" w:eastAsia="宋体"/>
                <w:b w:val="0"/>
                <w:sz w:val="18"/>
              </w:rPr>
              <w:t>比例</w:t>
            </w:r>
          </w:p>
        </w:tc>
      </w:tr>
      <w:tr>
        <w:tc>
          <w:tcPr>
            <w:tcW w:type="dxa" w:w="2771"/>
            <w:vAlign w:val="center"/>
          </w:tcPr>
          <w:p>
            <w:pPr>
              <w:spacing w:after="0"/>
            </w:pPr>
            <w:r>
              <w:rPr>
                <w:rFonts w:ascii="Times New Roman" w:hAnsi="Times New Roman" w:eastAsia="宋体"/>
                <w:b w:val="0"/>
                <w:sz w:val="18"/>
              </w:rPr>
              <w:t>末端需求点数量</w:t>
            </w:r>
          </w:p>
        </w:tc>
        <w:tc>
          <w:tcPr>
            <w:tcW w:type="dxa" w:w="2771"/>
            <w:vAlign w:val="center"/>
          </w:tcPr>
          <w:p>
            <w:pPr>
              <w:spacing w:after="0"/>
            </w:pPr>
            <w:r>
              <w:rPr>
                <w:rFonts w:ascii="Times New Roman" w:hAnsi="Times New Roman" w:eastAsia="宋体"/>
                <w:b w:val="0"/>
                <w:sz w:val="18"/>
              </w:rPr>
              <w:t>78</w:t>
            </w:r>
          </w:p>
        </w:tc>
        <w:tc>
          <w:tcPr>
            <w:tcW w:type="dxa" w:w="2771"/>
            <w:vAlign w:val="center"/>
          </w:tcPr>
          <w:p>
            <w:pPr>
              <w:spacing w:after="0"/>
            </w:pPr>
            <w:r>
              <w:rPr>
                <w:rFonts w:ascii="Times New Roman" w:hAnsi="Times New Roman" w:eastAsia="宋体"/>
                <w:b w:val="0"/>
                <w:sz w:val="18"/>
              </w:rPr>
              <w:t>个</w:t>
            </w:r>
          </w:p>
        </w:tc>
      </w:tr>
      <w:tr>
        <w:tc>
          <w:tcPr>
            <w:tcW w:type="dxa" w:w="2771"/>
            <w:vAlign w:val="center"/>
          </w:tcPr>
          <w:p>
            <w:pPr>
              <w:spacing w:after="0"/>
            </w:pPr>
            <w:r>
              <w:rPr>
                <w:rFonts w:ascii="Times New Roman" w:hAnsi="Times New Roman" w:eastAsia="宋体"/>
                <w:b w:val="0"/>
                <w:sz w:val="18"/>
              </w:rPr>
              <w:t>物流园区 L1 货源比例</w:t>
            </w:r>
          </w:p>
        </w:tc>
        <w:tc>
          <w:tcPr>
            <w:tcW w:type="dxa" w:w="2771"/>
            <w:vAlign w:val="center"/>
          </w:tcPr>
          <w:p>
            <w:pPr>
              <w:spacing w:after="0"/>
            </w:pPr>
            <w:r>
              <w:rPr>
                <w:rFonts w:ascii="Times New Roman" w:hAnsi="Times New Roman" w:eastAsia="宋体"/>
                <w:b w:val="0"/>
                <w:sz w:val="18"/>
              </w:rPr>
              <w:t>0.80</w:t>
            </w:r>
          </w:p>
        </w:tc>
        <w:tc>
          <w:tcPr>
            <w:tcW w:type="dxa" w:w="2771"/>
            <w:vAlign w:val="center"/>
          </w:tcPr>
          <w:p>
            <w:pPr>
              <w:spacing w:after="0"/>
            </w:pPr>
            <w:r>
              <w:rPr>
                <w:rFonts w:ascii="Times New Roman" w:hAnsi="Times New Roman" w:eastAsia="宋体"/>
                <w:b w:val="0"/>
                <w:sz w:val="18"/>
              </w:rPr>
              <w:t>比例</w:t>
            </w:r>
          </w:p>
        </w:tc>
      </w:tr>
      <w:tr>
        <w:tc>
          <w:tcPr>
            <w:tcW w:type="dxa" w:w="2771"/>
            <w:vAlign w:val="center"/>
          </w:tcPr>
          <w:p>
            <w:pPr>
              <w:spacing w:after="0"/>
            </w:pPr>
            <w:r>
              <w:rPr>
                <w:rFonts w:ascii="Times New Roman" w:hAnsi="Times New Roman" w:eastAsia="宋体"/>
                <w:b w:val="0"/>
                <w:sz w:val="18"/>
              </w:rPr>
              <w:t>物流园区 L2 货源比例</w:t>
            </w:r>
          </w:p>
        </w:tc>
        <w:tc>
          <w:tcPr>
            <w:tcW w:type="dxa" w:w="2771"/>
            <w:vAlign w:val="center"/>
          </w:tcPr>
          <w:p>
            <w:pPr>
              <w:spacing w:after="0"/>
            </w:pPr>
            <w:r>
              <w:rPr>
                <w:rFonts w:ascii="Times New Roman" w:hAnsi="Times New Roman" w:eastAsia="宋体"/>
                <w:b w:val="0"/>
                <w:sz w:val="18"/>
              </w:rPr>
              <w:t>0.20</w:t>
            </w:r>
          </w:p>
        </w:tc>
        <w:tc>
          <w:tcPr>
            <w:tcW w:type="dxa" w:w="2771"/>
            <w:vAlign w:val="center"/>
          </w:tcPr>
          <w:p>
            <w:pPr>
              <w:spacing w:after="0"/>
            </w:pPr>
            <w:r>
              <w:rPr>
                <w:rFonts w:ascii="Times New Roman" w:hAnsi="Times New Roman" w:eastAsia="宋体"/>
                <w:b w:val="0"/>
                <w:sz w:val="18"/>
              </w:rPr>
              <w:t>比例</w:t>
            </w:r>
          </w:p>
        </w:tc>
      </w:tr>
      <w:tr>
        <w:tc>
          <w:tcPr>
            <w:tcW w:type="dxa" w:w="2771"/>
            <w:vAlign w:val="center"/>
          </w:tcPr>
          <w:p>
            <w:pPr>
              <w:spacing w:after="0"/>
            </w:pPr>
            <w:r>
              <w:rPr>
                <w:rFonts w:ascii="Times New Roman" w:hAnsi="Times New Roman" w:eastAsia="宋体"/>
                <w:b w:val="0"/>
                <w:sz w:val="18"/>
              </w:rPr>
              <w:t>L1 接入站及距离</w:t>
            </w:r>
          </w:p>
        </w:tc>
        <w:tc>
          <w:tcPr>
            <w:tcW w:type="dxa" w:w="2771"/>
            <w:vAlign w:val="center"/>
          </w:tcPr>
          <w:p>
            <w:pPr>
              <w:spacing w:after="0"/>
            </w:pPr>
            <w:r>
              <w:rPr>
                <w:rFonts w:ascii="Times New Roman" w:hAnsi="Times New Roman" w:eastAsia="宋体"/>
                <w:b w:val="0"/>
                <w:sz w:val="18"/>
              </w:rPr>
              <w:t>双流西站，3.7</w:t>
            </w:r>
          </w:p>
        </w:tc>
        <w:tc>
          <w:tcPr>
            <w:tcW w:type="dxa" w:w="2771"/>
            <w:vAlign w:val="center"/>
          </w:tcPr>
          <w:p>
            <w:pPr>
              <w:spacing w:after="0"/>
            </w:pPr>
            <w:r>
              <w:rPr>
                <w:rFonts w:ascii="Times New Roman" w:hAnsi="Times New Roman" w:eastAsia="宋体"/>
                <w:b w:val="0"/>
                <w:sz w:val="18"/>
              </w:rPr>
              <w:t>km</w:t>
            </w:r>
          </w:p>
        </w:tc>
      </w:tr>
      <w:tr>
        <w:tc>
          <w:tcPr>
            <w:tcW w:type="dxa" w:w="2771"/>
            <w:vAlign w:val="center"/>
          </w:tcPr>
          <w:p>
            <w:pPr>
              <w:spacing w:after="0"/>
            </w:pPr>
            <w:r>
              <w:rPr>
                <w:rFonts w:ascii="Times New Roman" w:hAnsi="Times New Roman" w:eastAsia="宋体"/>
                <w:b w:val="0"/>
                <w:sz w:val="18"/>
              </w:rPr>
              <w:t>L2 接入站及距离</w:t>
            </w:r>
          </w:p>
        </w:tc>
        <w:tc>
          <w:tcPr>
            <w:tcW w:type="dxa" w:w="2771"/>
            <w:vAlign w:val="center"/>
          </w:tcPr>
          <w:p>
            <w:pPr>
              <w:spacing w:after="0"/>
            </w:pPr>
            <w:r>
              <w:rPr>
                <w:rFonts w:ascii="Times New Roman" w:hAnsi="Times New Roman" w:eastAsia="宋体"/>
                <w:b w:val="0"/>
                <w:sz w:val="18"/>
              </w:rPr>
              <w:t>天府机场北站，4.2</w:t>
            </w:r>
          </w:p>
        </w:tc>
        <w:tc>
          <w:tcPr>
            <w:tcW w:type="dxa" w:w="2771"/>
            <w:vAlign w:val="center"/>
          </w:tcPr>
          <w:p>
            <w:pPr>
              <w:spacing w:after="0"/>
            </w:pPr>
            <w:r>
              <w:rPr>
                <w:rFonts w:ascii="Times New Roman" w:hAnsi="Times New Roman" w:eastAsia="宋体"/>
                <w:b w:val="0"/>
                <w:sz w:val="18"/>
              </w:rPr>
              <w:t>km</w:t>
            </w:r>
          </w:p>
        </w:tc>
      </w:tr>
    </w:tbl>
    <w:p/>
    <w:p>
      <w:pPr>
        <w:pStyle w:val="Heading2"/>
      </w:pPr>
      <w:r>
        <w:t>5.2 第一阶段：候选地铁物流配送转运点识别</w:t>
      </w:r>
    </w:p>
    <w:p>
      <w:pPr>
        <w:pStyle w:val="Heading3"/>
      </w:pPr>
      <w:r>
        <w:t>5.2.1 指标计算</w:t>
      </w:r>
    </w:p>
    <w:p>
      <w:pPr>
        <w:spacing w:line="360" w:lineRule="auto" w:after="0"/>
        <w:ind w:firstLine="420"/>
      </w:pPr>
      <w:r>
        <w:rPr>
          <w:rFonts w:ascii="Times New Roman" w:hAnsi="Times New Roman" w:eastAsia="宋体"/>
          <w:b w:val="0"/>
          <w:sz w:val="21"/>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pPr>
        <w:spacing w:line="360" w:lineRule="auto" w:after="0"/>
        <w:ind w:firstLine="420"/>
      </w:pPr>
      <w:r>
        <w:rPr>
          <w:rFonts w:ascii="Times New Roman" w:hAnsi="Times New Roman" w:eastAsia="宋体"/>
          <w:b w:val="0"/>
          <w:sz w:val="21"/>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pPr>
        <w:spacing w:line="360" w:lineRule="auto" w:after="0"/>
        <w:ind w:firstLine="420"/>
      </w:pPr>
      <w:r>
        <w:rPr>
          <w:rFonts w:ascii="Times New Roman" w:hAnsi="Times New Roman" w:eastAsia="宋体"/>
          <w:b w:val="0"/>
          <w:sz w:val="21"/>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pPr>
        <w:pStyle w:val="Heading3"/>
      </w:pPr>
      <w:r>
        <w:t>5.2.2 地铁站点重要度评价</w:t>
      </w:r>
    </w:p>
    <w:p>
      <w:pPr>
        <w:spacing w:line="360" w:lineRule="auto" w:after="0"/>
        <w:ind w:firstLine="420"/>
      </w:pPr>
      <w:r>
        <w:rPr>
          <w:rFonts w:ascii="Times New Roman" w:hAnsi="Times New Roman" w:eastAsia="宋体"/>
          <w:b w:val="0"/>
          <w:sz w:val="21"/>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pPr>
        <w:spacing w:line="360" w:lineRule="auto" w:after="0"/>
        <w:ind w:firstLine="420"/>
      </w:pPr>
      <w:r>
        <w:rPr>
          <w:rFonts w:ascii="Times New Roman" w:hAnsi="Times New Roman" w:eastAsia="宋体"/>
          <w:b w:val="0"/>
          <w:sz w:val="21"/>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pPr>
        <w:pStyle w:val="Heading3"/>
      </w:pPr>
      <w:r>
        <w:t>5.2.3 候选地铁物流配送转运点筛选</w:t>
      </w:r>
    </w:p>
    <w:p>
      <w:pPr>
        <w:spacing w:line="360" w:lineRule="auto" w:after="0"/>
        <w:ind w:firstLine="420"/>
      </w:pPr>
      <w:r>
        <w:rPr>
          <w:rFonts w:ascii="Times New Roman" w:hAnsi="Times New Roman" w:eastAsia="宋体"/>
          <w:b w:val="0"/>
          <w:sz w:val="21"/>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其中，火车南站、孵化园、太平园等站点被标定为较高处理能力类型，高朋大道、九兴大道、高升桥、省体育馆、倪家桥等站点被标定为一般转运能力类型。</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after="0"/>
            </w:pPr>
            <w:r>
              <w:rPr>
                <w:rFonts w:ascii="Times New Roman" w:hAnsi="Times New Roman" w:eastAsia="宋体"/>
                <w:b/>
                <w:sz w:val="18"/>
              </w:rPr>
              <w:t>排序</w:t>
            </w:r>
          </w:p>
        </w:tc>
        <w:tc>
          <w:tcPr>
            <w:tcW w:type="dxa" w:w="1385"/>
            <w:vAlign w:val="center"/>
          </w:tcPr>
          <w:p>
            <w:pPr>
              <w:spacing w:after="0"/>
            </w:pPr>
            <w:r>
              <w:rPr>
                <w:rFonts w:ascii="Times New Roman" w:hAnsi="Times New Roman" w:eastAsia="宋体"/>
                <w:b/>
                <w:sz w:val="18"/>
              </w:rPr>
              <w:t>候选站点</w:t>
            </w:r>
          </w:p>
        </w:tc>
        <w:tc>
          <w:tcPr>
            <w:tcW w:type="dxa" w:w="1385"/>
            <w:vAlign w:val="center"/>
          </w:tcPr>
          <w:p>
            <w:pPr>
              <w:spacing w:after="0"/>
            </w:pPr>
            <w:r>
              <w:rPr>
                <w:rFonts w:ascii="Times New Roman" w:hAnsi="Times New Roman" w:eastAsia="宋体"/>
                <w:b/>
                <w:sz w:val="18"/>
              </w:rPr>
              <w:t>综合贴近度</w:t>
            </w:r>
          </w:p>
        </w:tc>
        <w:tc>
          <w:tcPr>
            <w:tcW w:type="dxa" w:w="1385"/>
            <w:vAlign w:val="center"/>
          </w:tcPr>
          <w:p>
            <w:pPr>
              <w:spacing w:after="0"/>
            </w:pPr>
            <w:r>
              <w:rPr>
                <w:rFonts w:ascii="Times New Roman" w:hAnsi="Times New Roman" w:eastAsia="宋体"/>
                <w:b/>
                <w:sz w:val="18"/>
              </w:rPr>
              <w:t>站点类型</w:t>
            </w:r>
          </w:p>
        </w:tc>
        <w:tc>
          <w:tcPr>
            <w:tcW w:type="dxa" w:w="1385"/>
            <w:vAlign w:val="center"/>
          </w:tcPr>
          <w:p>
            <w:pPr>
              <w:spacing w:after="0"/>
            </w:pPr>
            <w:r>
              <w:rPr>
                <w:rFonts w:ascii="Times New Roman" w:hAnsi="Times New Roman" w:eastAsia="宋体"/>
                <w:b/>
                <w:sz w:val="18"/>
              </w:rPr>
              <w:t>日处理能力（SLU/day）</w:t>
            </w:r>
          </w:p>
        </w:tc>
        <w:tc>
          <w:tcPr>
            <w:tcW w:type="dxa" w:w="1385"/>
            <w:vAlign w:val="center"/>
          </w:tcPr>
          <w:p>
            <w:pPr>
              <w:spacing w:after="0"/>
            </w:pPr>
            <w:r>
              <w:rPr>
                <w:rFonts w:ascii="Times New Roman" w:hAnsi="Times New Roman" w:eastAsia="宋体"/>
                <w:b/>
                <w:sz w:val="18"/>
              </w:rPr>
              <w:t>固定启用成本</w:t>
            </w:r>
          </w:p>
        </w:tc>
      </w:tr>
      <w:tr>
        <w:tc>
          <w:tcPr>
            <w:tcW w:type="dxa" w:w="1385"/>
            <w:vAlign w:val="center"/>
          </w:tcPr>
          <w:p>
            <w:pPr>
              <w:spacing w:after="0"/>
            </w:pPr>
            <w:r>
              <w:rPr>
                <w:rFonts w:ascii="Times New Roman" w:hAnsi="Times New Roman" w:eastAsia="宋体"/>
                <w:b w:val="0"/>
                <w:sz w:val="18"/>
              </w:rPr>
              <w:t>1</w:t>
            </w:r>
          </w:p>
        </w:tc>
        <w:tc>
          <w:tcPr>
            <w:tcW w:type="dxa" w:w="1385"/>
            <w:vAlign w:val="center"/>
          </w:tcPr>
          <w:p>
            <w:pPr>
              <w:spacing w:after="0"/>
            </w:pPr>
            <w:r>
              <w:rPr>
                <w:rFonts w:ascii="Times New Roman" w:hAnsi="Times New Roman" w:eastAsia="宋体"/>
                <w:b w:val="0"/>
                <w:sz w:val="18"/>
              </w:rPr>
              <w:t>高朋大道</w:t>
            </w:r>
          </w:p>
        </w:tc>
        <w:tc>
          <w:tcPr>
            <w:tcW w:type="dxa" w:w="1385"/>
            <w:vAlign w:val="center"/>
          </w:tcPr>
          <w:p>
            <w:pPr>
              <w:spacing w:after="0"/>
            </w:pPr>
            <w:r>
              <w:rPr>
                <w:rFonts w:ascii="Times New Roman" w:hAnsi="Times New Roman" w:eastAsia="宋体"/>
                <w:b w:val="0"/>
                <w:sz w:val="18"/>
              </w:rPr>
              <w:t>0.570039</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2</w:t>
            </w:r>
          </w:p>
        </w:tc>
        <w:tc>
          <w:tcPr>
            <w:tcW w:type="dxa" w:w="1385"/>
            <w:vAlign w:val="center"/>
          </w:tcPr>
          <w:p>
            <w:pPr>
              <w:spacing w:after="0"/>
            </w:pPr>
            <w:r>
              <w:rPr>
                <w:rFonts w:ascii="Times New Roman" w:hAnsi="Times New Roman" w:eastAsia="宋体"/>
                <w:b w:val="0"/>
                <w:sz w:val="18"/>
              </w:rPr>
              <w:t>九兴大道</w:t>
            </w:r>
          </w:p>
        </w:tc>
        <w:tc>
          <w:tcPr>
            <w:tcW w:type="dxa" w:w="1385"/>
            <w:vAlign w:val="center"/>
          </w:tcPr>
          <w:p>
            <w:pPr>
              <w:spacing w:after="0"/>
            </w:pPr>
            <w:r>
              <w:rPr>
                <w:rFonts w:ascii="Times New Roman" w:hAnsi="Times New Roman" w:eastAsia="宋体"/>
                <w:b w:val="0"/>
                <w:sz w:val="18"/>
              </w:rPr>
              <w:t>0.539260</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3</w:t>
            </w:r>
          </w:p>
        </w:tc>
        <w:tc>
          <w:tcPr>
            <w:tcW w:type="dxa" w:w="1385"/>
            <w:vAlign w:val="center"/>
          </w:tcPr>
          <w:p>
            <w:pPr>
              <w:spacing w:after="0"/>
            </w:pPr>
            <w:r>
              <w:rPr>
                <w:rFonts w:ascii="Times New Roman" w:hAnsi="Times New Roman" w:eastAsia="宋体"/>
                <w:b w:val="0"/>
                <w:sz w:val="18"/>
              </w:rPr>
              <w:t>火车南站</w:t>
            </w:r>
          </w:p>
        </w:tc>
        <w:tc>
          <w:tcPr>
            <w:tcW w:type="dxa" w:w="1385"/>
            <w:vAlign w:val="center"/>
          </w:tcPr>
          <w:p>
            <w:pPr>
              <w:spacing w:after="0"/>
            </w:pPr>
            <w:r>
              <w:rPr>
                <w:rFonts w:ascii="Times New Roman" w:hAnsi="Times New Roman" w:eastAsia="宋体"/>
                <w:b w:val="0"/>
                <w:sz w:val="18"/>
              </w:rPr>
              <w:t>0.483735</w:t>
            </w:r>
          </w:p>
        </w:tc>
        <w:tc>
          <w:tcPr>
            <w:tcW w:type="dxa" w:w="1385"/>
            <w:vAlign w:val="center"/>
          </w:tcPr>
          <w:p>
            <w:pPr>
              <w:spacing w:after="0"/>
            </w:pPr>
            <w:r>
              <w:rPr>
                <w:rFonts w:ascii="Times New Roman" w:hAnsi="Times New Roman" w:eastAsia="宋体"/>
                <w:b w:val="0"/>
                <w:sz w:val="18"/>
              </w:rPr>
              <w:t>HB</w:t>
            </w:r>
          </w:p>
        </w:tc>
        <w:tc>
          <w:tcPr>
            <w:tcW w:type="dxa" w:w="1385"/>
            <w:vAlign w:val="center"/>
          </w:tcPr>
          <w:p>
            <w:pPr>
              <w:spacing w:after="0"/>
            </w:pPr>
            <w:r>
              <w:rPr>
                <w:rFonts w:ascii="Times New Roman" w:hAnsi="Times New Roman" w:eastAsia="宋体"/>
                <w:b w:val="0"/>
                <w:sz w:val="18"/>
              </w:rPr>
              <w:t>10000</w:t>
            </w:r>
          </w:p>
        </w:tc>
        <w:tc>
          <w:tcPr>
            <w:tcW w:type="dxa" w:w="1385"/>
            <w:vAlign w:val="center"/>
          </w:tcPr>
          <w:p>
            <w:pPr>
              <w:spacing w:after="0"/>
            </w:pPr>
            <w:r>
              <w:rPr>
                <w:rFonts w:ascii="Times New Roman" w:hAnsi="Times New Roman" w:eastAsia="宋体"/>
                <w:b w:val="0"/>
                <w:sz w:val="18"/>
              </w:rPr>
              <w:t>16000</w:t>
            </w:r>
          </w:p>
        </w:tc>
      </w:tr>
      <w:tr>
        <w:tc>
          <w:tcPr>
            <w:tcW w:type="dxa" w:w="1385"/>
            <w:vAlign w:val="center"/>
          </w:tcPr>
          <w:p>
            <w:pPr>
              <w:spacing w:after="0"/>
            </w:pPr>
            <w:r>
              <w:rPr>
                <w:rFonts w:ascii="Times New Roman" w:hAnsi="Times New Roman" w:eastAsia="宋体"/>
                <w:b w:val="0"/>
                <w:sz w:val="18"/>
              </w:rPr>
              <w:t>4</w:t>
            </w:r>
          </w:p>
        </w:tc>
        <w:tc>
          <w:tcPr>
            <w:tcW w:type="dxa" w:w="1385"/>
            <w:vAlign w:val="center"/>
          </w:tcPr>
          <w:p>
            <w:pPr>
              <w:spacing w:after="0"/>
            </w:pPr>
            <w:r>
              <w:rPr>
                <w:rFonts w:ascii="Times New Roman" w:hAnsi="Times New Roman" w:eastAsia="宋体"/>
                <w:b w:val="0"/>
                <w:sz w:val="18"/>
              </w:rPr>
              <w:t>神仙树</w:t>
            </w:r>
          </w:p>
        </w:tc>
        <w:tc>
          <w:tcPr>
            <w:tcW w:type="dxa" w:w="1385"/>
            <w:vAlign w:val="center"/>
          </w:tcPr>
          <w:p>
            <w:pPr>
              <w:spacing w:after="0"/>
            </w:pPr>
            <w:r>
              <w:rPr>
                <w:rFonts w:ascii="Times New Roman" w:hAnsi="Times New Roman" w:eastAsia="宋体"/>
                <w:b w:val="0"/>
                <w:sz w:val="18"/>
              </w:rPr>
              <w:t>0.476123</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5</w:t>
            </w:r>
          </w:p>
        </w:tc>
        <w:tc>
          <w:tcPr>
            <w:tcW w:type="dxa" w:w="1385"/>
            <w:vAlign w:val="center"/>
          </w:tcPr>
          <w:p>
            <w:pPr>
              <w:spacing w:after="0"/>
            </w:pPr>
            <w:r>
              <w:rPr>
                <w:rFonts w:ascii="Times New Roman" w:hAnsi="Times New Roman" w:eastAsia="宋体"/>
                <w:b w:val="0"/>
                <w:sz w:val="18"/>
              </w:rPr>
              <w:t>高升桥</w:t>
            </w:r>
          </w:p>
        </w:tc>
        <w:tc>
          <w:tcPr>
            <w:tcW w:type="dxa" w:w="1385"/>
            <w:vAlign w:val="center"/>
          </w:tcPr>
          <w:p>
            <w:pPr>
              <w:spacing w:after="0"/>
            </w:pPr>
            <w:r>
              <w:rPr>
                <w:rFonts w:ascii="Times New Roman" w:hAnsi="Times New Roman" w:eastAsia="宋体"/>
                <w:b w:val="0"/>
                <w:sz w:val="18"/>
              </w:rPr>
              <w:t>0.454183</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6</w:t>
            </w:r>
          </w:p>
        </w:tc>
        <w:tc>
          <w:tcPr>
            <w:tcW w:type="dxa" w:w="1385"/>
            <w:vAlign w:val="center"/>
          </w:tcPr>
          <w:p>
            <w:pPr>
              <w:spacing w:after="0"/>
            </w:pPr>
            <w:r>
              <w:rPr>
                <w:rFonts w:ascii="Times New Roman" w:hAnsi="Times New Roman" w:eastAsia="宋体"/>
                <w:b w:val="0"/>
                <w:sz w:val="18"/>
              </w:rPr>
              <w:t>省体育馆</w:t>
            </w:r>
          </w:p>
        </w:tc>
        <w:tc>
          <w:tcPr>
            <w:tcW w:type="dxa" w:w="1385"/>
            <w:vAlign w:val="center"/>
          </w:tcPr>
          <w:p>
            <w:pPr>
              <w:spacing w:after="0"/>
            </w:pPr>
            <w:r>
              <w:rPr>
                <w:rFonts w:ascii="Times New Roman" w:hAnsi="Times New Roman" w:eastAsia="宋体"/>
                <w:b w:val="0"/>
                <w:sz w:val="18"/>
              </w:rPr>
              <w:t>0.443966</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7</w:t>
            </w:r>
          </w:p>
        </w:tc>
        <w:tc>
          <w:tcPr>
            <w:tcW w:type="dxa" w:w="1385"/>
            <w:vAlign w:val="center"/>
          </w:tcPr>
          <w:p>
            <w:pPr>
              <w:spacing w:after="0"/>
            </w:pPr>
            <w:r>
              <w:rPr>
                <w:rFonts w:ascii="Times New Roman" w:hAnsi="Times New Roman" w:eastAsia="宋体"/>
                <w:b w:val="0"/>
                <w:sz w:val="18"/>
              </w:rPr>
              <w:t>孵化园</w:t>
            </w:r>
          </w:p>
        </w:tc>
        <w:tc>
          <w:tcPr>
            <w:tcW w:type="dxa" w:w="1385"/>
            <w:vAlign w:val="center"/>
          </w:tcPr>
          <w:p>
            <w:pPr>
              <w:spacing w:after="0"/>
            </w:pPr>
            <w:r>
              <w:rPr>
                <w:rFonts w:ascii="Times New Roman" w:hAnsi="Times New Roman" w:eastAsia="宋体"/>
                <w:b w:val="0"/>
                <w:sz w:val="18"/>
              </w:rPr>
              <w:t>0.414084</w:t>
            </w:r>
          </w:p>
        </w:tc>
        <w:tc>
          <w:tcPr>
            <w:tcW w:type="dxa" w:w="1385"/>
            <w:vAlign w:val="center"/>
          </w:tcPr>
          <w:p>
            <w:pPr>
              <w:spacing w:after="0"/>
            </w:pPr>
            <w:r>
              <w:rPr>
                <w:rFonts w:ascii="Times New Roman" w:hAnsi="Times New Roman" w:eastAsia="宋体"/>
                <w:b w:val="0"/>
                <w:sz w:val="18"/>
              </w:rPr>
              <w:t>HB</w:t>
            </w:r>
          </w:p>
        </w:tc>
        <w:tc>
          <w:tcPr>
            <w:tcW w:type="dxa" w:w="1385"/>
            <w:vAlign w:val="center"/>
          </w:tcPr>
          <w:p>
            <w:pPr>
              <w:spacing w:after="0"/>
            </w:pPr>
            <w:r>
              <w:rPr>
                <w:rFonts w:ascii="Times New Roman" w:hAnsi="Times New Roman" w:eastAsia="宋体"/>
                <w:b w:val="0"/>
                <w:sz w:val="18"/>
              </w:rPr>
              <w:t>10000</w:t>
            </w:r>
          </w:p>
        </w:tc>
        <w:tc>
          <w:tcPr>
            <w:tcW w:type="dxa" w:w="1385"/>
            <w:vAlign w:val="center"/>
          </w:tcPr>
          <w:p>
            <w:pPr>
              <w:spacing w:after="0"/>
            </w:pPr>
            <w:r>
              <w:rPr>
                <w:rFonts w:ascii="Times New Roman" w:hAnsi="Times New Roman" w:eastAsia="宋体"/>
                <w:b w:val="0"/>
                <w:sz w:val="18"/>
              </w:rPr>
              <w:t>16000</w:t>
            </w:r>
          </w:p>
        </w:tc>
      </w:tr>
      <w:tr>
        <w:tc>
          <w:tcPr>
            <w:tcW w:type="dxa" w:w="1385"/>
            <w:vAlign w:val="center"/>
          </w:tcPr>
          <w:p>
            <w:pPr>
              <w:spacing w:after="0"/>
            </w:pPr>
            <w:r>
              <w:rPr>
                <w:rFonts w:ascii="Times New Roman" w:hAnsi="Times New Roman" w:eastAsia="宋体"/>
                <w:b w:val="0"/>
                <w:sz w:val="18"/>
              </w:rPr>
              <w:t>8</w:t>
            </w:r>
          </w:p>
        </w:tc>
        <w:tc>
          <w:tcPr>
            <w:tcW w:type="dxa" w:w="1385"/>
            <w:vAlign w:val="center"/>
          </w:tcPr>
          <w:p>
            <w:pPr>
              <w:spacing w:after="0"/>
            </w:pPr>
            <w:r>
              <w:rPr>
                <w:rFonts w:ascii="Times New Roman" w:hAnsi="Times New Roman" w:eastAsia="宋体"/>
                <w:b w:val="0"/>
                <w:sz w:val="18"/>
              </w:rPr>
              <w:t>倪家桥</w:t>
            </w:r>
          </w:p>
        </w:tc>
        <w:tc>
          <w:tcPr>
            <w:tcW w:type="dxa" w:w="1385"/>
            <w:vAlign w:val="center"/>
          </w:tcPr>
          <w:p>
            <w:pPr>
              <w:spacing w:after="0"/>
            </w:pPr>
            <w:r>
              <w:rPr>
                <w:rFonts w:ascii="Times New Roman" w:hAnsi="Times New Roman" w:eastAsia="宋体"/>
                <w:b w:val="0"/>
                <w:sz w:val="18"/>
              </w:rPr>
              <w:t>0.405797</w:t>
            </w:r>
          </w:p>
        </w:tc>
        <w:tc>
          <w:tcPr>
            <w:tcW w:type="dxa" w:w="1385"/>
            <w:vAlign w:val="center"/>
          </w:tcPr>
          <w:p>
            <w:pPr>
              <w:spacing w:after="0"/>
            </w:pPr>
            <w:r>
              <w:rPr>
                <w:rFonts w:ascii="Times New Roman" w:hAnsi="Times New Roman" w:eastAsia="宋体"/>
                <w:b w:val="0"/>
                <w:sz w:val="18"/>
              </w:rPr>
              <w:t>TR</w:t>
            </w:r>
          </w:p>
        </w:tc>
        <w:tc>
          <w:tcPr>
            <w:tcW w:type="dxa" w:w="1385"/>
            <w:vAlign w:val="center"/>
          </w:tcPr>
          <w:p>
            <w:pPr>
              <w:spacing w:after="0"/>
            </w:pPr>
            <w:r>
              <w:rPr>
                <w:rFonts w:ascii="Times New Roman" w:hAnsi="Times New Roman" w:eastAsia="宋体"/>
                <w:b w:val="0"/>
                <w:sz w:val="18"/>
              </w:rPr>
              <w:t>7000</w:t>
            </w:r>
          </w:p>
        </w:tc>
        <w:tc>
          <w:tcPr>
            <w:tcW w:type="dxa" w:w="1385"/>
            <w:vAlign w:val="center"/>
          </w:tcPr>
          <w:p>
            <w:pPr>
              <w:spacing w:after="0"/>
            </w:pPr>
            <w:r>
              <w:rPr>
                <w:rFonts w:ascii="Times New Roman" w:hAnsi="Times New Roman" w:eastAsia="宋体"/>
                <w:b w:val="0"/>
                <w:sz w:val="18"/>
              </w:rPr>
              <w:t>12000</w:t>
            </w:r>
          </w:p>
        </w:tc>
      </w:tr>
      <w:tr>
        <w:tc>
          <w:tcPr>
            <w:tcW w:type="dxa" w:w="1385"/>
            <w:vAlign w:val="center"/>
          </w:tcPr>
          <w:p>
            <w:pPr>
              <w:spacing w:after="0"/>
            </w:pPr>
            <w:r>
              <w:rPr>
                <w:rFonts w:ascii="Times New Roman" w:hAnsi="Times New Roman" w:eastAsia="宋体"/>
                <w:b w:val="0"/>
                <w:sz w:val="18"/>
              </w:rPr>
              <w:t>待补充</w:t>
            </w:r>
          </w:p>
        </w:tc>
        <w:tc>
          <w:tcPr>
            <w:tcW w:type="dxa" w:w="1385"/>
            <w:vAlign w:val="center"/>
          </w:tcPr>
          <w:p>
            <w:pPr>
              <w:spacing w:after="0"/>
            </w:pPr>
            <w:r>
              <w:rPr>
                <w:rFonts w:ascii="Times New Roman" w:hAnsi="Times New Roman" w:eastAsia="宋体"/>
                <w:b w:val="0"/>
                <w:sz w:val="18"/>
              </w:rPr>
              <w:t>其余候选点</w:t>
            </w:r>
          </w:p>
        </w:tc>
        <w:tc>
          <w:tcPr>
            <w:tcW w:type="dxa" w:w="1385"/>
            <w:vAlign w:val="center"/>
          </w:tcPr>
          <w:p>
            <w:pPr>
              <w:spacing w:after="0"/>
            </w:pPr>
            <w:r>
              <w:rPr>
                <w:rFonts w:ascii="Times New Roman" w:hAnsi="Times New Roman" w:eastAsia="宋体"/>
                <w:b w:val="0"/>
                <w:sz w:val="18"/>
              </w:rPr>
              <w:t>待核验</w:t>
            </w:r>
          </w:p>
        </w:tc>
        <w:tc>
          <w:tcPr>
            <w:tcW w:type="dxa" w:w="1385"/>
            <w:vAlign w:val="center"/>
          </w:tcPr>
          <w:p>
            <w:pPr>
              <w:spacing w:after="0"/>
            </w:pPr>
            <w:r>
              <w:rPr>
                <w:rFonts w:ascii="Times New Roman" w:hAnsi="Times New Roman" w:eastAsia="宋体"/>
                <w:b w:val="0"/>
                <w:sz w:val="18"/>
              </w:rPr>
              <w:t>SL/TR/HB</w:t>
            </w:r>
          </w:p>
        </w:tc>
        <w:tc>
          <w:tcPr>
            <w:tcW w:type="dxa" w:w="1385"/>
            <w:vAlign w:val="center"/>
          </w:tcPr>
          <w:p>
            <w:pPr>
              <w:spacing w:after="0"/>
            </w:pPr>
            <w:r>
              <w:rPr>
                <w:rFonts w:ascii="Times New Roman" w:hAnsi="Times New Roman" w:eastAsia="宋体"/>
                <w:b w:val="0"/>
                <w:sz w:val="18"/>
              </w:rPr>
              <w:t>5000/7000/10000</w:t>
            </w:r>
          </w:p>
        </w:tc>
        <w:tc>
          <w:tcPr>
            <w:tcW w:type="dxa" w:w="1385"/>
            <w:vAlign w:val="center"/>
          </w:tcPr>
          <w:p>
            <w:pPr>
              <w:spacing w:after="0"/>
            </w:pPr>
            <w:r>
              <w:rPr>
                <w:rFonts w:ascii="Times New Roman" w:hAnsi="Times New Roman" w:eastAsia="宋体"/>
                <w:b w:val="0"/>
                <w:sz w:val="18"/>
              </w:rPr>
              <w:t>8000/12000/16000</w:t>
            </w:r>
          </w:p>
        </w:tc>
      </w:tr>
    </w:tbl>
    <w:p/>
    <w:p>
      <w:pPr>
        <w:spacing w:line="360" w:lineRule="auto" w:after="0"/>
        <w:ind w:firstLine="420"/>
      </w:pPr>
      <w:r>
        <w:rPr>
          <w:rFonts w:ascii="Times New Roman" w:hAnsi="Times New Roman" w:eastAsia="宋体"/>
          <w:b w:val="0"/>
          <w:sz w:val="21"/>
        </w:rPr>
        <w:t>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pPr>
        <w:pStyle w:val="Heading2"/>
      </w:pPr>
      <w:r>
        <w:t>5.3 第二阶段：转运点布局优化与方案分析</w:t>
      </w:r>
    </w:p>
    <w:p>
      <w:pPr>
        <w:pStyle w:val="Heading3"/>
      </w:pPr>
      <w:r>
        <w:t>5.3.1 模型参数设置与布局情景设计</w:t>
      </w:r>
    </w:p>
    <w:p>
      <w:pPr>
        <w:spacing w:line="360" w:lineRule="auto" w:after="0"/>
        <w:ind w:firstLine="420"/>
      </w:pPr>
      <w:r>
        <w:rPr>
          <w:rFonts w:ascii="Times New Roman" w:hAnsi="Times New Roman" w:eastAsia="宋体"/>
          <w:b w:val="0"/>
          <w:sz w:val="21"/>
        </w:rPr>
        <w:t>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TOPSIS 后评价中，本章仅以 $Z_1$ 和 $Z_2$ 作为基本评价指标，平均接驳距离、覆盖率、站点负载率、班次占用数和碳排放量等指标仅用于方案解释与运营可行性诊断，不作为 TOPSIS 后评价的新增评价指标。</w:t>
      </w:r>
    </w:p>
    <w:p>
      <w:pPr>
        <w:spacing w:line="360" w:lineRule="auto" w:after="0"/>
        <w:ind w:firstLine="420"/>
      </w:pPr>
      <w:r>
        <w:rPr>
          <w:rFonts w:ascii="Times New Roman" w:hAnsi="Times New Roman" w:eastAsia="宋体"/>
          <w:b w:val="0"/>
          <w:sz w:val="21"/>
        </w:rPr>
        <w:t>模型主要参数如表 5-4 所示。末端服务半径基准值设为 4.0 km，用于约束地铁物流配送转运点对末端需求点的有效服务范围；候选站点的日处理能力根据站点类型划分为 5000、7000 和 10000 SLU/day；启用站点需满足最低有效负载率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after="0"/>
            </w:pPr>
            <w:r>
              <w:rPr>
                <w:rFonts w:ascii="Times New Roman" w:hAnsi="Times New Roman" w:eastAsia="宋体"/>
                <w:b/>
                <w:sz w:val="18"/>
              </w:rPr>
              <w:t>参数</w:t>
            </w:r>
          </w:p>
        </w:tc>
        <w:tc>
          <w:tcPr>
            <w:tcW w:type="dxa" w:w="2771"/>
            <w:vAlign w:val="center"/>
          </w:tcPr>
          <w:p>
            <w:pPr>
              <w:spacing w:after="0"/>
            </w:pPr>
            <w:r>
              <w:rPr>
                <w:rFonts w:ascii="Times New Roman" w:hAnsi="Times New Roman" w:eastAsia="宋体"/>
                <w:b/>
                <w:sz w:val="18"/>
              </w:rPr>
              <w:t>基准取值</w:t>
            </w:r>
          </w:p>
        </w:tc>
        <w:tc>
          <w:tcPr>
            <w:tcW w:type="dxa" w:w="2771"/>
            <w:vAlign w:val="center"/>
          </w:tcPr>
          <w:p>
            <w:pPr>
              <w:spacing w:after="0"/>
            </w:pPr>
            <w:r>
              <w:rPr>
                <w:rFonts w:ascii="Times New Roman" w:hAnsi="Times New Roman" w:eastAsia="宋体"/>
                <w:b/>
                <w:sz w:val="18"/>
              </w:rPr>
              <w:t>含义</w:t>
            </w:r>
          </w:p>
        </w:tc>
      </w:tr>
      <w:tr>
        <w:tc>
          <w:tcPr>
            <w:tcW w:type="dxa" w:w="2771"/>
            <w:vAlign w:val="center"/>
          </w:tcPr>
          <w:p>
            <w:pPr>
              <w:spacing w:after="0"/>
            </w:pPr>
            <w:r>
              <w:rPr>
                <w:rFonts w:ascii="Times New Roman" w:hAnsi="Times New Roman" w:eastAsia="宋体"/>
                <w:b w:val="0"/>
                <w:sz w:val="18"/>
              </w:rPr>
              <w:t>$D_k^{max}$</w:t>
            </w:r>
          </w:p>
        </w:tc>
        <w:tc>
          <w:tcPr>
            <w:tcW w:type="dxa" w:w="2771"/>
            <w:vAlign w:val="center"/>
          </w:tcPr>
          <w:p>
            <w:pPr>
              <w:spacing w:after="0"/>
            </w:pPr>
            <w:r>
              <w:rPr>
                <w:rFonts w:ascii="Times New Roman" w:hAnsi="Times New Roman" w:eastAsia="宋体"/>
                <w:b w:val="0"/>
                <w:sz w:val="18"/>
              </w:rPr>
              <w:t>4.0 km</w:t>
            </w:r>
          </w:p>
        </w:tc>
        <w:tc>
          <w:tcPr>
            <w:tcW w:type="dxa" w:w="2771"/>
            <w:vAlign w:val="center"/>
          </w:tcPr>
          <w:p>
            <w:pPr>
              <w:spacing w:after="0"/>
            </w:pPr>
            <w:r>
              <w:rPr>
                <w:rFonts w:ascii="Times New Roman" w:hAnsi="Times New Roman" w:eastAsia="宋体"/>
                <w:b w:val="0"/>
                <w:sz w:val="18"/>
              </w:rPr>
              <w:t>末端服务半径</w:t>
            </w:r>
          </w:p>
        </w:tc>
      </w:tr>
      <w:tr>
        <w:tc>
          <w:tcPr>
            <w:tcW w:type="dxa" w:w="2771"/>
            <w:vAlign w:val="center"/>
          </w:tcPr>
          <w:p>
            <w:pPr>
              <w:spacing w:after="0"/>
            </w:pPr>
            <w:r>
              <w:rPr>
                <w:rFonts w:ascii="Times New Roman" w:hAnsi="Times New Roman" w:eastAsia="宋体"/>
                <w:b w:val="0"/>
                <w:sz w:val="18"/>
              </w:rPr>
              <w:t>最小站间距离</w:t>
            </w:r>
          </w:p>
        </w:tc>
        <w:tc>
          <w:tcPr>
            <w:tcW w:type="dxa" w:w="2771"/>
            <w:vAlign w:val="center"/>
          </w:tcPr>
          <w:p>
            <w:pPr>
              <w:spacing w:after="0"/>
            </w:pPr>
            <w:r>
              <w:rPr>
                <w:rFonts w:ascii="Times New Roman" w:hAnsi="Times New Roman" w:eastAsia="宋体"/>
                <w:b w:val="0"/>
                <w:sz w:val="18"/>
              </w:rPr>
              <w:t>2.0 km</w:t>
            </w:r>
          </w:p>
        </w:tc>
        <w:tc>
          <w:tcPr>
            <w:tcW w:type="dxa" w:w="2771"/>
            <w:vAlign w:val="center"/>
          </w:tcPr>
          <w:p>
            <w:pPr>
              <w:spacing w:after="0"/>
            </w:pPr>
            <w:r>
              <w:rPr>
                <w:rFonts w:ascii="Times New Roman" w:hAnsi="Times New Roman" w:eastAsia="宋体"/>
                <w:b w:val="0"/>
                <w:sz w:val="18"/>
              </w:rPr>
              <w:t>启用站点空间分散约束</w:t>
            </w:r>
          </w:p>
        </w:tc>
      </w:tr>
      <w:tr>
        <w:tc>
          <w:tcPr>
            <w:tcW w:type="dxa" w:w="2771"/>
            <w:vAlign w:val="center"/>
          </w:tcPr>
          <w:p>
            <w:pPr>
              <w:spacing w:after="0"/>
            </w:pPr>
            <w:r>
              <w:rPr>
                <w:rFonts w:ascii="Times New Roman" w:hAnsi="Times New Roman" w:eastAsia="宋体"/>
                <w:b w:val="0"/>
                <w:sz w:val="18"/>
              </w:rPr>
              <w:t>单线路最大启用数</w:t>
            </w:r>
          </w:p>
        </w:tc>
        <w:tc>
          <w:tcPr>
            <w:tcW w:type="dxa" w:w="2771"/>
            <w:vAlign w:val="center"/>
          </w:tcPr>
          <w:p>
            <w:pPr>
              <w:spacing w:after="0"/>
            </w:pPr>
            <w:r>
              <w:rPr>
                <w:rFonts w:ascii="Times New Roman" w:hAnsi="Times New Roman" w:eastAsia="宋体"/>
                <w:b w:val="0"/>
                <w:sz w:val="18"/>
              </w:rPr>
              <w:t>3</w:t>
            </w:r>
          </w:p>
        </w:tc>
        <w:tc>
          <w:tcPr>
            <w:tcW w:type="dxa" w:w="2771"/>
            <w:vAlign w:val="center"/>
          </w:tcPr>
          <w:p>
            <w:pPr>
              <w:spacing w:after="0"/>
            </w:pPr>
            <w:r>
              <w:rPr>
                <w:rFonts w:ascii="Times New Roman" w:hAnsi="Times New Roman" w:eastAsia="宋体"/>
                <w:b w:val="0"/>
                <w:sz w:val="18"/>
              </w:rPr>
              <w:t>避免同线节点过度集聚</w:t>
            </w:r>
          </w:p>
        </w:tc>
      </w:tr>
      <w:tr>
        <w:tc>
          <w:tcPr>
            <w:tcW w:type="dxa" w:w="2771"/>
            <w:vAlign w:val="center"/>
          </w:tcPr>
          <w:p>
            <w:pPr>
              <w:spacing w:after="0"/>
            </w:pPr>
            <w:r>
              <w:rPr>
                <w:rFonts w:ascii="Times New Roman" w:hAnsi="Times New Roman" w:eastAsia="宋体"/>
                <w:b w:val="0"/>
                <w:sz w:val="18"/>
              </w:rPr>
              <w:t>最大换乘次数</w:t>
            </w:r>
          </w:p>
        </w:tc>
        <w:tc>
          <w:tcPr>
            <w:tcW w:type="dxa" w:w="2771"/>
            <w:vAlign w:val="center"/>
          </w:tcPr>
          <w:p>
            <w:pPr>
              <w:spacing w:after="0"/>
            </w:pPr>
            <w:r>
              <w:rPr>
                <w:rFonts w:ascii="Times New Roman" w:hAnsi="Times New Roman" w:eastAsia="宋体"/>
                <w:b w:val="0"/>
                <w:sz w:val="18"/>
              </w:rPr>
              <w:t>2</w:t>
            </w:r>
          </w:p>
        </w:tc>
        <w:tc>
          <w:tcPr>
            <w:tcW w:type="dxa" w:w="2771"/>
            <w:vAlign w:val="center"/>
          </w:tcPr>
          <w:p>
            <w:pPr>
              <w:spacing w:after="0"/>
            </w:pPr>
            <w:r>
              <w:rPr>
                <w:rFonts w:ascii="Times New Roman" w:hAnsi="Times New Roman" w:eastAsia="宋体"/>
                <w:b w:val="0"/>
                <w:sz w:val="18"/>
              </w:rPr>
              <w:t>地铁干线路径可行性约束</w:t>
            </w:r>
          </w:p>
        </w:tc>
      </w:tr>
      <w:tr>
        <w:tc>
          <w:tcPr>
            <w:tcW w:type="dxa" w:w="2771"/>
            <w:vAlign w:val="center"/>
          </w:tcPr>
          <w:p>
            <w:pPr>
              <w:spacing w:after="0"/>
            </w:pPr>
            <w:r>
              <w:rPr>
                <w:rFonts w:ascii="Times New Roman" w:hAnsi="Times New Roman" w:eastAsia="宋体"/>
                <w:b w:val="0"/>
                <w:sz w:val="18"/>
              </w:rPr>
              <w:t>SL/TR/HB 日处理能力</w:t>
            </w:r>
          </w:p>
        </w:tc>
        <w:tc>
          <w:tcPr>
            <w:tcW w:type="dxa" w:w="2771"/>
            <w:vAlign w:val="center"/>
          </w:tcPr>
          <w:p>
            <w:pPr>
              <w:spacing w:after="0"/>
            </w:pPr>
            <w:r>
              <w:rPr>
                <w:rFonts w:ascii="Times New Roman" w:hAnsi="Times New Roman" w:eastAsia="宋体"/>
                <w:b w:val="0"/>
                <w:sz w:val="18"/>
              </w:rPr>
              <w:t>5000/7000/10000</w:t>
            </w:r>
          </w:p>
        </w:tc>
        <w:tc>
          <w:tcPr>
            <w:tcW w:type="dxa" w:w="2771"/>
            <w:vAlign w:val="center"/>
          </w:tcPr>
          <w:p>
            <w:pPr>
              <w:spacing w:after="0"/>
            </w:pPr>
            <w:r>
              <w:rPr>
                <w:rFonts w:ascii="Times New Roman" w:hAnsi="Times New Roman" w:eastAsia="宋体"/>
                <w:b w:val="0"/>
                <w:sz w:val="18"/>
              </w:rPr>
              <w:t>候选转运点类型能力</w:t>
            </w:r>
          </w:p>
        </w:tc>
      </w:tr>
      <w:tr>
        <w:tc>
          <w:tcPr>
            <w:tcW w:type="dxa" w:w="2771"/>
            <w:vAlign w:val="center"/>
          </w:tcPr>
          <w:p>
            <w:pPr>
              <w:spacing w:after="0"/>
            </w:pPr>
            <w:r>
              <w:rPr>
                <w:rFonts w:ascii="Times New Roman" w:hAnsi="Times New Roman" w:eastAsia="宋体"/>
                <w:b w:val="0"/>
                <w:sz w:val="18"/>
              </w:rPr>
              <w:t>SL/TR/HB 固定启用成本</w:t>
            </w:r>
          </w:p>
        </w:tc>
        <w:tc>
          <w:tcPr>
            <w:tcW w:type="dxa" w:w="2771"/>
            <w:vAlign w:val="center"/>
          </w:tcPr>
          <w:p>
            <w:pPr>
              <w:spacing w:after="0"/>
            </w:pPr>
            <w:r>
              <w:rPr>
                <w:rFonts w:ascii="Times New Roman" w:hAnsi="Times New Roman" w:eastAsia="宋体"/>
                <w:b w:val="0"/>
                <w:sz w:val="18"/>
              </w:rPr>
              <w:t>8000/12000/16000</w:t>
            </w:r>
          </w:p>
        </w:tc>
        <w:tc>
          <w:tcPr>
            <w:tcW w:type="dxa" w:w="2771"/>
            <w:vAlign w:val="center"/>
          </w:tcPr>
          <w:p>
            <w:pPr>
              <w:spacing w:after="0"/>
            </w:pPr>
            <w:r>
              <w:rPr>
                <w:rFonts w:ascii="Times New Roman" w:hAnsi="Times New Roman" w:eastAsia="宋体"/>
                <w:b w:val="0"/>
                <w:sz w:val="18"/>
              </w:rPr>
              <w:t>候选转运点固定成本</w:t>
            </w:r>
          </w:p>
        </w:tc>
      </w:tr>
      <w:tr>
        <w:tc>
          <w:tcPr>
            <w:tcW w:type="dxa" w:w="2771"/>
            <w:vAlign w:val="center"/>
          </w:tcPr>
          <w:p>
            <w:pPr>
              <w:spacing w:after="0"/>
            </w:pPr>
            <w:r>
              <w:rPr>
                <w:rFonts w:ascii="Times New Roman" w:hAnsi="Times New Roman" w:eastAsia="宋体"/>
                <w:b w:val="0"/>
                <w:sz w:val="18"/>
              </w:rPr>
              <w:t>最低/最高负载率</w:t>
            </w:r>
          </w:p>
        </w:tc>
        <w:tc>
          <w:tcPr>
            <w:tcW w:type="dxa" w:w="2771"/>
            <w:vAlign w:val="center"/>
          </w:tcPr>
          <w:p>
            <w:pPr>
              <w:spacing w:after="0"/>
            </w:pPr>
            <w:r>
              <w:rPr>
                <w:rFonts w:ascii="Times New Roman" w:hAnsi="Times New Roman" w:eastAsia="宋体"/>
                <w:b w:val="0"/>
                <w:sz w:val="18"/>
              </w:rPr>
              <w:t>0.15/0.85</w:t>
            </w:r>
          </w:p>
        </w:tc>
        <w:tc>
          <w:tcPr>
            <w:tcW w:type="dxa" w:w="2771"/>
            <w:vAlign w:val="center"/>
          </w:tcPr>
          <w:p>
            <w:pPr>
              <w:spacing w:after="0"/>
            </w:pPr>
            <w:r>
              <w:rPr>
                <w:rFonts w:ascii="Times New Roman" w:hAnsi="Times New Roman" w:eastAsia="宋体"/>
                <w:b w:val="0"/>
                <w:sz w:val="18"/>
              </w:rPr>
              <w:t>有效负载与作业能力约束</w:t>
            </w:r>
          </w:p>
        </w:tc>
      </w:tr>
      <w:tr>
        <w:tc>
          <w:tcPr>
            <w:tcW w:type="dxa" w:w="2771"/>
            <w:vAlign w:val="center"/>
          </w:tcPr>
          <w:p>
            <w:pPr>
              <w:spacing w:after="0"/>
            </w:pPr>
            <w:r>
              <w:rPr>
                <w:rFonts w:ascii="Times New Roman" w:hAnsi="Times New Roman" w:eastAsia="宋体"/>
                <w:b w:val="0"/>
                <w:sz w:val="18"/>
              </w:rPr>
              <w:t>每线可用班次数</w:t>
            </w:r>
          </w:p>
        </w:tc>
        <w:tc>
          <w:tcPr>
            <w:tcW w:type="dxa" w:w="2771"/>
            <w:vAlign w:val="center"/>
          </w:tcPr>
          <w:p>
            <w:pPr>
              <w:spacing w:after="0"/>
            </w:pPr>
            <w:r>
              <w:rPr>
                <w:rFonts w:ascii="Times New Roman" w:hAnsi="Times New Roman" w:eastAsia="宋体"/>
                <w:b w:val="0"/>
                <w:sz w:val="18"/>
              </w:rPr>
              <w:t>5</w:t>
            </w:r>
          </w:p>
        </w:tc>
        <w:tc>
          <w:tcPr>
            <w:tcW w:type="dxa" w:w="2771"/>
            <w:vAlign w:val="center"/>
          </w:tcPr>
          <w:p>
            <w:pPr>
              <w:spacing w:after="0"/>
            </w:pPr>
            <w:r>
              <w:rPr>
                <w:rFonts w:ascii="Times New Roman" w:hAnsi="Times New Roman" w:eastAsia="宋体"/>
                <w:b w:val="0"/>
                <w:sz w:val="18"/>
              </w:rPr>
              <w:t>平峰期可用列车班次</w:t>
            </w:r>
          </w:p>
        </w:tc>
      </w:tr>
    </w:tbl>
    <w:p/>
    <w:p>
      <w:pPr>
        <w:spacing w:line="360" w:lineRule="auto" w:after="0"/>
        <w:ind w:firstLine="420"/>
      </w:pPr>
      <w:r>
        <w:rPr>
          <w:rFonts w:ascii="Times New Roman" w:hAnsi="Times New Roman" w:eastAsia="宋体"/>
          <w:b w:val="0"/>
          <w:sz w:val="21"/>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pPr>
        <w:spacing w:line="360" w:lineRule="auto" w:after="0"/>
        <w:ind w:firstLine="420"/>
      </w:pPr>
      <w:r>
        <w:rPr>
          <w:rFonts w:ascii="Times New Roman" w:hAnsi="Times New Roman" w:eastAsia="宋体"/>
          <w:b w:val="0"/>
          <w:sz w:val="21"/>
        </w:rPr>
        <w:t>在方案后评价中，若决策主体未给出明确偏好，本文采用归一化等权作为基准设置，即成本目标和地铁服务比例目标具有相同权重。为增强方案解释的完整性，第五章可进一步设置成本偏好、服务偏好和均衡偏好三类权重情景，用于分析不同决策偏好对折中方案选择的影响。相关权重表应在最终定稿时列出，并明确其仅服务于 TOPSIS 后评价，不改变第四章多目标优化模型本身。</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spacing w:after="0"/>
            </w:pPr>
            <w:r>
              <w:rPr>
                <w:rFonts w:ascii="Times New Roman" w:hAnsi="Times New Roman" w:eastAsia="宋体"/>
                <w:b/>
                <w:sz w:val="18"/>
              </w:rPr>
              <w:t>权重情景</w:t>
            </w:r>
          </w:p>
        </w:tc>
        <w:tc>
          <w:tcPr>
            <w:tcW w:type="dxa" w:w="2078"/>
            <w:vAlign w:val="center"/>
          </w:tcPr>
          <w:p>
            <w:pPr>
              <w:spacing w:after="0"/>
            </w:pPr>
            <w:r>
              <w:rPr>
                <w:rFonts w:ascii="Times New Roman" w:hAnsi="Times New Roman" w:eastAsia="宋体"/>
                <w:b/>
                <w:sz w:val="18"/>
              </w:rPr>
              <w:t>$Z_1$ 综合成本权重</w:t>
            </w:r>
          </w:p>
        </w:tc>
        <w:tc>
          <w:tcPr>
            <w:tcW w:type="dxa" w:w="2078"/>
            <w:vAlign w:val="center"/>
          </w:tcPr>
          <w:p>
            <w:pPr>
              <w:spacing w:after="0"/>
            </w:pPr>
            <w:r>
              <w:rPr>
                <w:rFonts w:ascii="Times New Roman" w:hAnsi="Times New Roman" w:eastAsia="宋体"/>
                <w:b/>
                <w:sz w:val="18"/>
              </w:rPr>
              <w:t>$Z_2$ 地铁服务比例权重</w:t>
            </w:r>
          </w:p>
        </w:tc>
        <w:tc>
          <w:tcPr>
            <w:tcW w:type="dxa" w:w="2078"/>
            <w:vAlign w:val="center"/>
          </w:tcPr>
          <w:p>
            <w:pPr>
              <w:spacing w:after="0"/>
            </w:pPr>
            <w:r>
              <w:rPr>
                <w:rFonts w:ascii="Times New Roman" w:hAnsi="Times New Roman" w:eastAsia="宋体"/>
                <w:b/>
                <w:sz w:val="18"/>
              </w:rPr>
              <w:t>适用解释</w:t>
            </w:r>
          </w:p>
        </w:tc>
      </w:tr>
      <w:tr>
        <w:tc>
          <w:tcPr>
            <w:tcW w:type="dxa" w:w="2078"/>
            <w:vAlign w:val="center"/>
          </w:tcPr>
          <w:p>
            <w:pPr>
              <w:spacing w:after="0"/>
            </w:pPr>
            <w:r>
              <w:rPr>
                <w:rFonts w:ascii="Times New Roman" w:hAnsi="Times New Roman" w:eastAsia="宋体"/>
                <w:b w:val="0"/>
                <w:sz w:val="18"/>
              </w:rPr>
              <w:t>成本偏好</w:t>
            </w:r>
          </w:p>
        </w:tc>
        <w:tc>
          <w:tcPr>
            <w:tcW w:type="dxa" w:w="2078"/>
            <w:vAlign w:val="center"/>
          </w:tcPr>
          <w:p>
            <w:pPr>
              <w:spacing w:after="0"/>
            </w:pPr>
            <w:r>
              <w:rPr>
                <w:rFonts w:ascii="Times New Roman" w:hAnsi="Times New Roman" w:eastAsia="宋体"/>
                <w:b w:val="0"/>
                <w:sz w:val="18"/>
              </w:rPr>
              <w:t>0.70</w:t>
            </w:r>
          </w:p>
        </w:tc>
        <w:tc>
          <w:tcPr>
            <w:tcW w:type="dxa" w:w="2078"/>
            <w:vAlign w:val="center"/>
          </w:tcPr>
          <w:p>
            <w:pPr>
              <w:spacing w:after="0"/>
            </w:pPr>
            <w:r>
              <w:rPr>
                <w:rFonts w:ascii="Times New Roman" w:hAnsi="Times New Roman" w:eastAsia="宋体"/>
                <w:b w:val="0"/>
                <w:sz w:val="18"/>
              </w:rPr>
              <w:t>0.30</w:t>
            </w:r>
          </w:p>
        </w:tc>
        <w:tc>
          <w:tcPr>
            <w:tcW w:type="dxa" w:w="2078"/>
            <w:vAlign w:val="center"/>
          </w:tcPr>
          <w:p>
            <w:pPr>
              <w:spacing w:after="0"/>
            </w:pPr>
            <w:r>
              <w:rPr>
                <w:rFonts w:ascii="Times New Roman" w:hAnsi="Times New Roman" w:eastAsia="宋体"/>
                <w:b w:val="0"/>
                <w:sz w:val="18"/>
              </w:rPr>
              <w:t>更关注企业运营成本控制</w:t>
            </w:r>
          </w:p>
        </w:tc>
      </w:tr>
      <w:tr>
        <w:tc>
          <w:tcPr>
            <w:tcW w:type="dxa" w:w="2078"/>
            <w:vAlign w:val="center"/>
          </w:tcPr>
          <w:p>
            <w:pPr>
              <w:spacing w:after="0"/>
            </w:pPr>
            <w:r>
              <w:rPr>
                <w:rFonts w:ascii="Times New Roman" w:hAnsi="Times New Roman" w:eastAsia="宋体"/>
                <w:b w:val="0"/>
                <w:sz w:val="18"/>
              </w:rPr>
              <w:t>均衡偏好/默认方案</w:t>
            </w:r>
          </w:p>
        </w:tc>
        <w:tc>
          <w:tcPr>
            <w:tcW w:type="dxa" w:w="2078"/>
            <w:vAlign w:val="center"/>
          </w:tcPr>
          <w:p>
            <w:pPr>
              <w:spacing w:after="0"/>
            </w:pPr>
            <w:r>
              <w:rPr>
                <w:rFonts w:ascii="Times New Roman" w:hAnsi="Times New Roman" w:eastAsia="宋体"/>
                <w:b w:val="0"/>
                <w:sz w:val="18"/>
              </w:rPr>
              <w:t>0.50</w:t>
            </w:r>
          </w:p>
        </w:tc>
        <w:tc>
          <w:tcPr>
            <w:tcW w:type="dxa" w:w="2078"/>
            <w:vAlign w:val="center"/>
          </w:tcPr>
          <w:p>
            <w:pPr>
              <w:spacing w:after="0"/>
            </w:pPr>
            <w:r>
              <w:rPr>
                <w:rFonts w:ascii="Times New Roman" w:hAnsi="Times New Roman" w:eastAsia="宋体"/>
                <w:b w:val="0"/>
                <w:sz w:val="18"/>
              </w:rPr>
              <w:t>0.50</w:t>
            </w:r>
          </w:p>
        </w:tc>
        <w:tc>
          <w:tcPr>
            <w:tcW w:type="dxa" w:w="2078"/>
            <w:vAlign w:val="center"/>
          </w:tcPr>
          <w:p>
            <w:pPr>
              <w:spacing w:after="0"/>
            </w:pPr>
            <w:r>
              <w:rPr>
                <w:rFonts w:ascii="Times New Roman" w:hAnsi="Times New Roman" w:eastAsia="宋体"/>
                <w:b w:val="0"/>
                <w:sz w:val="18"/>
              </w:rPr>
              <w:t>无明确偏好时的基准折中口径</w:t>
            </w:r>
          </w:p>
        </w:tc>
      </w:tr>
      <w:tr>
        <w:tc>
          <w:tcPr>
            <w:tcW w:type="dxa" w:w="2078"/>
            <w:vAlign w:val="center"/>
          </w:tcPr>
          <w:p>
            <w:pPr>
              <w:spacing w:after="0"/>
            </w:pPr>
            <w:r>
              <w:rPr>
                <w:rFonts w:ascii="Times New Roman" w:hAnsi="Times New Roman" w:eastAsia="宋体"/>
                <w:b w:val="0"/>
                <w:sz w:val="18"/>
              </w:rPr>
              <w:t>服务偏好</w:t>
            </w:r>
          </w:p>
        </w:tc>
        <w:tc>
          <w:tcPr>
            <w:tcW w:type="dxa" w:w="2078"/>
            <w:vAlign w:val="center"/>
          </w:tcPr>
          <w:p>
            <w:pPr>
              <w:spacing w:after="0"/>
            </w:pPr>
            <w:r>
              <w:rPr>
                <w:rFonts w:ascii="Times New Roman" w:hAnsi="Times New Roman" w:eastAsia="宋体"/>
                <w:b w:val="0"/>
                <w:sz w:val="18"/>
              </w:rPr>
              <w:t>0.30</w:t>
            </w:r>
          </w:p>
        </w:tc>
        <w:tc>
          <w:tcPr>
            <w:tcW w:type="dxa" w:w="2078"/>
            <w:vAlign w:val="center"/>
          </w:tcPr>
          <w:p>
            <w:pPr>
              <w:spacing w:after="0"/>
            </w:pPr>
            <w:r>
              <w:rPr>
                <w:rFonts w:ascii="Times New Roman" w:hAnsi="Times New Roman" w:eastAsia="宋体"/>
                <w:b w:val="0"/>
                <w:sz w:val="18"/>
              </w:rPr>
              <w:t>0.70</w:t>
            </w:r>
          </w:p>
        </w:tc>
        <w:tc>
          <w:tcPr>
            <w:tcW w:type="dxa" w:w="2078"/>
            <w:vAlign w:val="center"/>
          </w:tcPr>
          <w:p>
            <w:pPr>
              <w:spacing w:after="0"/>
            </w:pPr>
            <w:r>
              <w:rPr>
                <w:rFonts w:ascii="Times New Roman" w:hAnsi="Times New Roman" w:eastAsia="宋体"/>
                <w:b w:val="0"/>
                <w:sz w:val="18"/>
              </w:rPr>
              <w:t>更关注地铁联运服务覆盖和道路减负</w:t>
            </w:r>
          </w:p>
        </w:tc>
      </w:tr>
    </w:tbl>
    <w:p/>
    <w:p>
      <w:pPr>
        <w:pStyle w:val="Heading3"/>
      </w:pPr>
      <w:r>
        <w:t>5.3.2 QVNS-NSGA-II 算法参数设置</w:t>
      </w:r>
    </w:p>
    <w:p>
      <w:pPr>
        <w:spacing w:line="360" w:lineRule="auto" w:after="0"/>
        <w:ind w:firstLine="420"/>
      </w:pPr>
      <w:r>
        <w:rPr>
          <w:rFonts w:ascii="Times New Roman" w:hAnsi="Times New Roman" w:eastAsia="宋体"/>
          <w:b w:val="0"/>
          <w:sz w:val="21"/>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pPr>
        <w:spacing w:line="360" w:lineRule="auto" w:after="0"/>
        <w:ind w:firstLine="420"/>
      </w:pPr>
      <w:r>
        <w:rPr>
          <w:rFonts w:ascii="Times New Roman" w:hAnsi="Times New Roman" w:eastAsia="宋体"/>
          <w:b w:val="0"/>
          <w:sz w:val="21"/>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after="0"/>
            </w:pPr>
            <w:r>
              <w:rPr>
                <w:rFonts w:ascii="Times New Roman" w:hAnsi="Times New Roman" w:eastAsia="宋体"/>
                <w:b/>
                <w:sz w:val="18"/>
              </w:rPr>
              <w:t>参数</w:t>
            </w:r>
          </w:p>
        </w:tc>
        <w:tc>
          <w:tcPr>
            <w:tcW w:type="dxa" w:w="2771"/>
            <w:vAlign w:val="center"/>
          </w:tcPr>
          <w:p>
            <w:pPr>
              <w:spacing w:after="0"/>
            </w:pPr>
            <w:r>
              <w:rPr>
                <w:rFonts w:ascii="Times New Roman" w:hAnsi="Times New Roman" w:eastAsia="宋体"/>
                <w:b/>
                <w:sz w:val="18"/>
              </w:rPr>
              <w:t>取值</w:t>
            </w:r>
          </w:p>
        </w:tc>
        <w:tc>
          <w:tcPr>
            <w:tcW w:type="dxa" w:w="2771"/>
            <w:vAlign w:val="center"/>
          </w:tcPr>
          <w:p>
            <w:pPr>
              <w:spacing w:after="0"/>
            </w:pPr>
            <w:r>
              <w:rPr>
                <w:rFonts w:ascii="Times New Roman" w:hAnsi="Times New Roman" w:eastAsia="宋体"/>
                <w:b/>
                <w:sz w:val="18"/>
              </w:rPr>
              <w:t>含义</w:t>
            </w:r>
          </w:p>
        </w:tc>
      </w:tr>
      <w:tr>
        <w:tc>
          <w:tcPr>
            <w:tcW w:type="dxa" w:w="2771"/>
            <w:vAlign w:val="center"/>
          </w:tcPr>
          <w:p>
            <w:pPr>
              <w:spacing w:after="0"/>
            </w:pPr>
            <w:r>
              <w:rPr>
                <w:rFonts w:ascii="Times New Roman" w:hAnsi="Times New Roman" w:eastAsia="宋体"/>
                <w:b w:val="0"/>
                <w:sz w:val="18"/>
              </w:rPr>
              <w:t>$N$</w:t>
            </w:r>
          </w:p>
        </w:tc>
        <w:tc>
          <w:tcPr>
            <w:tcW w:type="dxa" w:w="2771"/>
            <w:vAlign w:val="center"/>
          </w:tcPr>
          <w:p>
            <w:pPr>
              <w:spacing w:after="0"/>
            </w:pPr>
            <w:r>
              <w:rPr>
                <w:rFonts w:ascii="Times New Roman" w:hAnsi="Times New Roman" w:eastAsia="宋体"/>
                <w:b w:val="0"/>
                <w:sz w:val="18"/>
              </w:rPr>
              <w:t>100</w:t>
            </w:r>
          </w:p>
        </w:tc>
        <w:tc>
          <w:tcPr>
            <w:tcW w:type="dxa" w:w="2771"/>
            <w:vAlign w:val="center"/>
          </w:tcPr>
          <w:p>
            <w:pPr>
              <w:spacing w:after="0"/>
            </w:pPr>
            <w:r>
              <w:rPr>
                <w:rFonts w:ascii="Times New Roman" w:hAnsi="Times New Roman" w:eastAsia="宋体"/>
                <w:b w:val="0"/>
                <w:sz w:val="18"/>
              </w:rPr>
              <w:t>种群规模</w:t>
            </w:r>
          </w:p>
        </w:tc>
      </w:tr>
      <w:tr>
        <w:tc>
          <w:tcPr>
            <w:tcW w:type="dxa" w:w="2771"/>
            <w:vAlign w:val="center"/>
          </w:tcPr>
          <w:p>
            <w:pPr>
              <w:spacing w:after="0"/>
            </w:pPr>
            <w:r>
              <w:rPr>
                <w:rFonts w:ascii="Times New Roman" w:hAnsi="Times New Roman" w:eastAsia="宋体"/>
                <w:b w:val="0"/>
                <w:sz w:val="18"/>
              </w:rPr>
              <w:t>$G$</w:t>
            </w:r>
          </w:p>
        </w:tc>
        <w:tc>
          <w:tcPr>
            <w:tcW w:type="dxa" w:w="2771"/>
            <w:vAlign w:val="center"/>
          </w:tcPr>
          <w:p>
            <w:pPr>
              <w:spacing w:after="0"/>
            </w:pPr>
            <w:r>
              <w:rPr>
                <w:rFonts w:ascii="Times New Roman" w:hAnsi="Times New Roman" w:eastAsia="宋体"/>
                <w:b w:val="0"/>
                <w:sz w:val="18"/>
              </w:rPr>
              <w:t>300</w:t>
            </w:r>
          </w:p>
        </w:tc>
        <w:tc>
          <w:tcPr>
            <w:tcW w:type="dxa" w:w="2771"/>
            <w:vAlign w:val="center"/>
          </w:tcPr>
          <w:p>
            <w:pPr>
              <w:spacing w:after="0"/>
            </w:pPr>
            <w:r>
              <w:rPr>
                <w:rFonts w:ascii="Times New Roman" w:hAnsi="Times New Roman" w:eastAsia="宋体"/>
                <w:b w:val="0"/>
                <w:sz w:val="18"/>
              </w:rPr>
              <w:t>最大迭代次数</w:t>
            </w:r>
          </w:p>
        </w:tc>
      </w:tr>
      <w:tr>
        <w:tc>
          <w:tcPr>
            <w:tcW w:type="dxa" w:w="2771"/>
            <w:vAlign w:val="center"/>
          </w:tcPr>
          <w:p>
            <w:pPr>
              <w:spacing w:after="0"/>
            </w:pPr>
            <w:r>
              <w:rPr>
                <w:rFonts w:ascii="Times New Roman" w:hAnsi="Times New Roman" w:eastAsia="宋体"/>
                <w:b w:val="0"/>
                <w:sz w:val="18"/>
              </w:rPr>
              <w:t>$p_c$</w:t>
            </w:r>
          </w:p>
        </w:tc>
        <w:tc>
          <w:tcPr>
            <w:tcW w:type="dxa" w:w="2771"/>
            <w:vAlign w:val="center"/>
          </w:tcPr>
          <w:p>
            <w:pPr>
              <w:spacing w:after="0"/>
            </w:pPr>
            <w:r>
              <w:rPr>
                <w:rFonts w:ascii="Times New Roman" w:hAnsi="Times New Roman" w:eastAsia="宋体"/>
                <w:b w:val="0"/>
                <w:sz w:val="18"/>
              </w:rPr>
              <w:t>0.90</w:t>
            </w:r>
          </w:p>
        </w:tc>
        <w:tc>
          <w:tcPr>
            <w:tcW w:type="dxa" w:w="2771"/>
            <w:vAlign w:val="center"/>
          </w:tcPr>
          <w:p>
            <w:pPr>
              <w:spacing w:after="0"/>
            </w:pPr>
            <w:r>
              <w:rPr>
                <w:rFonts w:ascii="Times New Roman" w:hAnsi="Times New Roman" w:eastAsia="宋体"/>
                <w:b w:val="0"/>
                <w:sz w:val="18"/>
              </w:rPr>
              <w:t>交叉概率</w:t>
            </w:r>
          </w:p>
        </w:tc>
      </w:tr>
      <w:tr>
        <w:tc>
          <w:tcPr>
            <w:tcW w:type="dxa" w:w="2771"/>
            <w:vAlign w:val="center"/>
          </w:tcPr>
          <w:p>
            <w:pPr>
              <w:spacing w:after="0"/>
            </w:pPr>
            <w:r>
              <w:rPr>
                <w:rFonts w:ascii="Times New Roman" w:hAnsi="Times New Roman" w:eastAsia="宋体"/>
                <w:b w:val="0"/>
                <w:sz w:val="18"/>
              </w:rPr>
              <w:t>$alpha$</w:t>
            </w:r>
          </w:p>
        </w:tc>
        <w:tc>
          <w:tcPr>
            <w:tcW w:type="dxa" w:w="2771"/>
            <w:vAlign w:val="center"/>
          </w:tcPr>
          <w:p>
            <w:pPr>
              <w:spacing w:after="0"/>
            </w:pPr>
            <w:r>
              <w:rPr>
                <w:rFonts w:ascii="Times New Roman" w:hAnsi="Times New Roman" w:eastAsia="宋体"/>
                <w:b w:val="0"/>
                <w:sz w:val="18"/>
              </w:rPr>
              <w:t>0.15</w:t>
            </w:r>
          </w:p>
        </w:tc>
        <w:tc>
          <w:tcPr>
            <w:tcW w:type="dxa" w:w="2771"/>
            <w:vAlign w:val="center"/>
          </w:tcPr>
          <w:p>
            <w:pPr>
              <w:spacing w:after="0"/>
            </w:pPr>
            <w:r>
              <w:rPr>
                <w:rFonts w:ascii="Times New Roman" w:hAnsi="Times New Roman" w:eastAsia="宋体"/>
                <w:b w:val="0"/>
                <w:sz w:val="18"/>
              </w:rPr>
              <w:t>Q-learning 学习率</w:t>
            </w:r>
          </w:p>
        </w:tc>
      </w:tr>
      <w:tr>
        <w:tc>
          <w:tcPr>
            <w:tcW w:type="dxa" w:w="2771"/>
            <w:vAlign w:val="center"/>
          </w:tcPr>
          <w:p>
            <w:pPr>
              <w:spacing w:after="0"/>
            </w:pPr>
            <w:r>
              <w:rPr>
                <w:rFonts w:ascii="Times New Roman" w:hAnsi="Times New Roman" w:eastAsia="宋体"/>
                <w:b w:val="0"/>
                <w:sz w:val="18"/>
              </w:rPr>
              <w:t>$gamma$</w:t>
            </w:r>
          </w:p>
        </w:tc>
        <w:tc>
          <w:tcPr>
            <w:tcW w:type="dxa" w:w="2771"/>
            <w:vAlign w:val="center"/>
          </w:tcPr>
          <w:p>
            <w:pPr>
              <w:spacing w:after="0"/>
            </w:pPr>
            <w:r>
              <w:rPr>
                <w:rFonts w:ascii="Times New Roman" w:hAnsi="Times New Roman" w:eastAsia="宋体"/>
                <w:b w:val="0"/>
                <w:sz w:val="18"/>
              </w:rPr>
              <w:t>0.88</w:t>
            </w:r>
          </w:p>
        </w:tc>
        <w:tc>
          <w:tcPr>
            <w:tcW w:type="dxa" w:w="2771"/>
            <w:vAlign w:val="center"/>
          </w:tcPr>
          <w:p>
            <w:pPr>
              <w:spacing w:after="0"/>
            </w:pPr>
            <w:r>
              <w:rPr>
                <w:rFonts w:ascii="Times New Roman" w:hAnsi="Times New Roman" w:eastAsia="宋体"/>
                <w:b w:val="0"/>
                <w:sz w:val="18"/>
              </w:rPr>
              <w:t>Q-learning 折扣因子</w:t>
            </w:r>
          </w:p>
        </w:tc>
      </w:tr>
      <w:tr>
        <w:tc>
          <w:tcPr>
            <w:tcW w:type="dxa" w:w="2771"/>
            <w:vAlign w:val="center"/>
          </w:tcPr>
          <w:p>
            <w:pPr>
              <w:spacing w:after="0"/>
            </w:pPr>
            <w:r>
              <w:rPr>
                <w:rFonts w:ascii="Times New Roman" w:hAnsi="Times New Roman" w:eastAsia="宋体"/>
                <w:b w:val="0"/>
                <w:sz w:val="18"/>
              </w:rPr>
              <w:t>$epsilon$</w:t>
            </w:r>
          </w:p>
        </w:tc>
        <w:tc>
          <w:tcPr>
            <w:tcW w:type="dxa" w:w="2771"/>
            <w:vAlign w:val="center"/>
          </w:tcPr>
          <w:p>
            <w:pPr>
              <w:spacing w:after="0"/>
            </w:pPr>
            <w:r>
              <w:rPr>
                <w:rFonts w:ascii="Times New Roman" w:hAnsi="Times New Roman" w:eastAsia="宋体"/>
                <w:b w:val="0"/>
                <w:sz w:val="18"/>
              </w:rPr>
              <w:t>0.30</w:t>
            </w:r>
          </w:p>
        </w:tc>
        <w:tc>
          <w:tcPr>
            <w:tcW w:type="dxa" w:w="2771"/>
            <w:vAlign w:val="center"/>
          </w:tcPr>
          <w:p>
            <w:pPr>
              <w:spacing w:after="0"/>
            </w:pPr>
            <w:r>
              <w:rPr>
                <w:rFonts w:ascii="Times New Roman" w:hAnsi="Times New Roman" w:eastAsia="宋体"/>
                <w:b w:val="0"/>
                <w:sz w:val="18"/>
              </w:rPr>
              <w:t>初始探索概率</w:t>
            </w:r>
          </w:p>
        </w:tc>
      </w:tr>
      <w:tr>
        <w:tc>
          <w:tcPr>
            <w:tcW w:type="dxa" w:w="2771"/>
            <w:vAlign w:val="center"/>
          </w:tcPr>
          <w:p>
            <w:pPr>
              <w:spacing w:after="0"/>
            </w:pPr>
            <w:r>
              <w:rPr>
                <w:rFonts w:ascii="Times New Roman" w:hAnsi="Times New Roman" w:eastAsia="宋体"/>
                <w:b w:val="0"/>
                <w:sz w:val="18"/>
              </w:rPr>
              <w:t>$epsilon_{min}$</w:t>
            </w:r>
          </w:p>
        </w:tc>
        <w:tc>
          <w:tcPr>
            <w:tcW w:type="dxa" w:w="2771"/>
            <w:vAlign w:val="center"/>
          </w:tcPr>
          <w:p>
            <w:pPr>
              <w:spacing w:after="0"/>
            </w:pPr>
            <w:r>
              <w:rPr>
                <w:rFonts w:ascii="Times New Roman" w:hAnsi="Times New Roman" w:eastAsia="宋体"/>
                <w:b w:val="0"/>
                <w:sz w:val="18"/>
              </w:rPr>
              <w:t>0.010</w:t>
            </w:r>
          </w:p>
        </w:tc>
        <w:tc>
          <w:tcPr>
            <w:tcW w:type="dxa" w:w="2771"/>
            <w:vAlign w:val="center"/>
          </w:tcPr>
          <w:p>
            <w:pPr>
              <w:spacing w:after="0"/>
            </w:pPr>
            <w:r>
              <w:rPr>
                <w:rFonts w:ascii="Times New Roman" w:hAnsi="Times New Roman" w:eastAsia="宋体"/>
                <w:b w:val="0"/>
                <w:sz w:val="18"/>
              </w:rPr>
              <w:t>最小探索概率</w:t>
            </w:r>
          </w:p>
        </w:tc>
      </w:tr>
      <w:tr>
        <w:tc>
          <w:tcPr>
            <w:tcW w:type="dxa" w:w="2771"/>
            <w:vAlign w:val="center"/>
          </w:tcPr>
          <w:p>
            <w:pPr>
              <w:spacing w:after="0"/>
            </w:pPr>
            <w:r>
              <w:rPr>
                <w:rFonts w:ascii="Times New Roman" w:hAnsi="Times New Roman" w:eastAsia="宋体"/>
                <w:b w:val="0"/>
                <w:sz w:val="18"/>
              </w:rPr>
              <w:t>$A$</w:t>
            </w:r>
          </w:p>
        </w:tc>
        <w:tc>
          <w:tcPr>
            <w:tcW w:type="dxa" w:w="2771"/>
            <w:vAlign w:val="center"/>
          </w:tcPr>
          <w:p>
            <w:pPr>
              <w:spacing w:after="0"/>
            </w:pPr>
            <w:r>
              <w:rPr>
                <w:rFonts w:ascii="Times New Roman" w:hAnsi="Times New Roman" w:eastAsia="宋体"/>
                <w:b w:val="0"/>
                <w:sz w:val="18"/>
              </w:rPr>
              <w:t>250</w:t>
            </w:r>
          </w:p>
        </w:tc>
        <w:tc>
          <w:tcPr>
            <w:tcW w:type="dxa" w:w="2771"/>
            <w:vAlign w:val="center"/>
          </w:tcPr>
          <w:p>
            <w:pPr>
              <w:spacing w:after="0"/>
            </w:pPr>
            <w:r>
              <w:rPr>
                <w:rFonts w:ascii="Times New Roman" w:hAnsi="Times New Roman" w:eastAsia="宋体"/>
                <w:b w:val="0"/>
                <w:sz w:val="18"/>
              </w:rPr>
              <w:t>外部档案规模</w:t>
            </w:r>
          </w:p>
        </w:tc>
      </w:tr>
      <w:tr>
        <w:tc>
          <w:tcPr>
            <w:tcW w:type="dxa" w:w="2771"/>
            <w:vAlign w:val="center"/>
          </w:tcPr>
          <w:p>
            <w:pPr>
              <w:spacing w:after="0"/>
            </w:pPr>
            <w:r>
              <w:rPr>
                <w:rFonts w:ascii="Times New Roman" w:hAnsi="Times New Roman" w:eastAsia="宋体"/>
                <w:b w:val="0"/>
                <w:sz w:val="18"/>
              </w:rPr>
              <w:t>elite rate</w:t>
            </w:r>
          </w:p>
        </w:tc>
        <w:tc>
          <w:tcPr>
            <w:tcW w:type="dxa" w:w="2771"/>
            <w:vAlign w:val="center"/>
          </w:tcPr>
          <w:p>
            <w:pPr>
              <w:spacing w:after="0"/>
            </w:pPr>
            <w:r>
              <w:rPr>
                <w:rFonts w:ascii="Times New Roman" w:hAnsi="Times New Roman" w:eastAsia="宋体"/>
                <w:b w:val="0"/>
                <w:sz w:val="18"/>
              </w:rPr>
              <w:t>0.12</w:t>
            </w:r>
          </w:p>
        </w:tc>
        <w:tc>
          <w:tcPr>
            <w:tcW w:type="dxa" w:w="2771"/>
            <w:vAlign w:val="center"/>
          </w:tcPr>
          <w:p>
            <w:pPr>
              <w:spacing w:after="0"/>
            </w:pPr>
            <w:r>
              <w:rPr>
                <w:rFonts w:ascii="Times New Roman" w:hAnsi="Times New Roman" w:eastAsia="宋体"/>
                <w:b w:val="0"/>
                <w:sz w:val="18"/>
              </w:rPr>
              <w:t>邻域搜索精英比例</w:t>
            </w:r>
          </w:p>
        </w:tc>
      </w:tr>
      <w:tr>
        <w:tc>
          <w:tcPr>
            <w:tcW w:type="dxa" w:w="2771"/>
            <w:vAlign w:val="center"/>
          </w:tcPr>
          <w:p>
            <w:pPr>
              <w:spacing w:after="0"/>
            </w:pPr>
            <w:r>
              <w:rPr>
                <w:rFonts w:ascii="Times New Roman" w:hAnsi="Times New Roman" w:eastAsia="宋体"/>
                <w:b w:val="0"/>
                <w:sz w:val="18"/>
              </w:rPr>
              <w:t>archive feedback interval</w:t>
            </w:r>
          </w:p>
        </w:tc>
        <w:tc>
          <w:tcPr>
            <w:tcW w:type="dxa" w:w="2771"/>
            <w:vAlign w:val="center"/>
          </w:tcPr>
          <w:p>
            <w:pPr>
              <w:spacing w:after="0"/>
            </w:pPr>
            <w:r>
              <w:rPr>
                <w:rFonts w:ascii="Times New Roman" w:hAnsi="Times New Roman" w:eastAsia="宋体"/>
                <w:b w:val="0"/>
                <w:sz w:val="18"/>
              </w:rPr>
              <w:t>8</w:t>
            </w:r>
          </w:p>
        </w:tc>
        <w:tc>
          <w:tcPr>
            <w:tcW w:type="dxa" w:w="2771"/>
            <w:vAlign w:val="center"/>
          </w:tcPr>
          <w:p>
            <w:pPr>
              <w:spacing w:after="0"/>
            </w:pPr>
            <w:r>
              <w:rPr>
                <w:rFonts w:ascii="Times New Roman" w:hAnsi="Times New Roman" w:eastAsia="宋体"/>
                <w:b w:val="0"/>
                <w:sz w:val="18"/>
              </w:rPr>
              <w:t>档案反馈间隔</w:t>
            </w:r>
          </w:p>
        </w:tc>
      </w:tr>
      <w:tr>
        <w:tc>
          <w:tcPr>
            <w:tcW w:type="dxa" w:w="2771"/>
            <w:vAlign w:val="center"/>
          </w:tcPr>
          <w:p>
            <w:pPr>
              <w:spacing w:after="0"/>
            </w:pPr>
            <w:r>
              <w:rPr>
                <w:rFonts w:ascii="Times New Roman" w:hAnsi="Times New Roman" w:eastAsia="宋体"/>
                <w:b w:val="0"/>
                <w:sz w:val="18"/>
              </w:rPr>
              <w:t>safeguard threshold</w:t>
            </w:r>
          </w:p>
        </w:tc>
        <w:tc>
          <w:tcPr>
            <w:tcW w:type="dxa" w:w="2771"/>
            <w:vAlign w:val="center"/>
          </w:tcPr>
          <w:p>
            <w:pPr>
              <w:spacing w:after="0"/>
            </w:pPr>
            <w:r>
              <w:rPr>
                <w:rFonts w:ascii="Times New Roman" w:hAnsi="Times New Roman" w:eastAsia="宋体"/>
                <w:b w:val="0"/>
                <w:sz w:val="18"/>
              </w:rPr>
              <w:t>-0.15</w:t>
            </w:r>
          </w:p>
        </w:tc>
        <w:tc>
          <w:tcPr>
            <w:tcW w:type="dxa" w:w="2771"/>
            <w:vAlign w:val="center"/>
          </w:tcPr>
          <w:p>
            <w:pPr>
              <w:spacing w:after="0"/>
            </w:pPr>
            <w:r>
              <w:rPr>
                <w:rFonts w:ascii="Times New Roman" w:hAnsi="Times New Roman" w:eastAsia="宋体"/>
                <w:b w:val="0"/>
                <w:sz w:val="18"/>
              </w:rPr>
              <w:t>档案保护阈值</w:t>
            </w:r>
          </w:p>
        </w:tc>
      </w:tr>
    </w:tbl>
    <w:p/>
    <w:p>
      <w:pPr>
        <w:spacing w:line="360" w:lineRule="auto" w:after="0"/>
        <w:ind w:firstLine="420"/>
      </w:pPr>
      <w:r>
        <w:rPr>
          <w:rFonts w:ascii="Times New Roman" w:hAnsi="Times New Roman"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改善、拥挤距离改善、可行性改善、成本改善、服务比例改善、档案贡献、局部结构改善和惩罚项控制等搜索反馈维度。具体含义应与第四章算法定义保持一致，最终定稿时需核对符号表和公式编号。</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after="0"/>
            </w:pPr>
            <w:r>
              <w:rPr>
                <w:rFonts w:ascii="Times New Roman" w:hAnsi="Times New Roman" w:eastAsia="宋体"/>
                <w:b/>
                <w:sz w:val="18"/>
              </w:rPr>
              <w:t>奖励权重</w:t>
            </w:r>
          </w:p>
        </w:tc>
        <w:tc>
          <w:tcPr>
            <w:tcW w:type="dxa" w:w="2771"/>
            <w:vAlign w:val="center"/>
          </w:tcPr>
          <w:p>
            <w:pPr>
              <w:spacing w:after="0"/>
            </w:pPr>
            <w:r>
              <w:rPr>
                <w:rFonts w:ascii="Times New Roman" w:hAnsi="Times New Roman" w:eastAsia="宋体"/>
                <w:b/>
                <w:sz w:val="18"/>
              </w:rPr>
              <w:t>归一化取值</w:t>
            </w:r>
          </w:p>
        </w:tc>
        <w:tc>
          <w:tcPr>
            <w:tcW w:type="dxa" w:w="2771"/>
            <w:vAlign w:val="center"/>
          </w:tcPr>
          <w:p>
            <w:pPr>
              <w:spacing w:after="0"/>
            </w:pPr>
            <w:r>
              <w:rPr>
                <w:rFonts w:ascii="Times New Roman" w:hAnsi="Times New Roman" w:eastAsia="宋体"/>
                <w:b/>
                <w:sz w:val="18"/>
              </w:rPr>
              <w:t>说明</w:t>
            </w:r>
          </w:p>
        </w:tc>
      </w:tr>
      <w:tr>
        <w:tc>
          <w:tcPr>
            <w:tcW w:type="dxa" w:w="2771"/>
            <w:vAlign w:val="center"/>
          </w:tcPr>
          <w:p>
            <w:pPr>
              <w:spacing w:after="0"/>
            </w:pPr>
            <w:r>
              <w:rPr>
                <w:rFonts w:ascii="Times New Roman" w:hAnsi="Times New Roman" w:eastAsia="宋体"/>
                <w:b w:val="0"/>
                <w:sz w:val="18"/>
              </w:rPr>
              <w:t>$eta_1$</w:t>
            </w:r>
          </w:p>
        </w:tc>
        <w:tc>
          <w:tcPr>
            <w:tcW w:type="dxa" w:w="2771"/>
            <w:vAlign w:val="center"/>
          </w:tcPr>
          <w:p>
            <w:pPr>
              <w:spacing w:after="0"/>
            </w:pPr>
            <w:r>
              <w:rPr>
                <w:rFonts w:ascii="Times New Roman" w:hAnsi="Times New Roman" w:eastAsia="宋体"/>
                <w:b w:val="0"/>
                <w:sz w:val="18"/>
              </w:rPr>
              <w:t>0.4624</w:t>
            </w:r>
          </w:p>
        </w:tc>
        <w:tc>
          <w:tcPr>
            <w:tcW w:type="dxa" w:w="2771"/>
            <w:vAlign w:val="center"/>
          </w:tcPr>
          <w:p>
            <w:pPr>
              <w:spacing w:after="0"/>
            </w:pPr>
            <w:r>
              <w:rPr>
                <w:rFonts w:ascii="Times New Roman" w:hAnsi="Times New Roman" w:eastAsia="宋体"/>
                <w:b w:val="0"/>
                <w:sz w:val="18"/>
              </w:rPr>
              <w:t>主导改进反馈</w:t>
            </w:r>
          </w:p>
        </w:tc>
      </w:tr>
      <w:tr>
        <w:tc>
          <w:tcPr>
            <w:tcW w:type="dxa" w:w="2771"/>
            <w:vAlign w:val="center"/>
          </w:tcPr>
          <w:p>
            <w:pPr>
              <w:spacing w:after="0"/>
            </w:pPr>
            <w:r>
              <w:rPr>
                <w:rFonts w:ascii="Times New Roman" w:hAnsi="Times New Roman" w:eastAsia="宋体"/>
                <w:b w:val="0"/>
                <w:sz w:val="18"/>
              </w:rPr>
              <w:t>$eta_2$</w:t>
            </w:r>
          </w:p>
        </w:tc>
        <w:tc>
          <w:tcPr>
            <w:tcW w:type="dxa" w:w="2771"/>
            <w:vAlign w:val="center"/>
          </w:tcPr>
          <w:p>
            <w:pPr>
              <w:spacing w:after="0"/>
            </w:pPr>
            <w:r>
              <w:rPr>
                <w:rFonts w:ascii="Times New Roman" w:hAnsi="Times New Roman" w:eastAsia="宋体"/>
                <w:b w:val="0"/>
                <w:sz w:val="18"/>
              </w:rPr>
              <w:t>0.1040</w:t>
            </w:r>
          </w:p>
        </w:tc>
        <w:tc>
          <w:tcPr>
            <w:tcW w:type="dxa" w:w="2771"/>
            <w:vAlign w:val="center"/>
          </w:tcPr>
          <w:p>
            <w:pPr>
              <w:spacing w:after="0"/>
            </w:pPr>
            <w:r>
              <w:rPr>
                <w:rFonts w:ascii="Times New Roman" w:hAnsi="Times New Roman" w:eastAsia="宋体"/>
                <w:b w:val="0"/>
                <w:sz w:val="18"/>
              </w:rPr>
              <w:t>多样性或拥挤距离反馈</w:t>
            </w:r>
          </w:p>
        </w:tc>
      </w:tr>
      <w:tr>
        <w:tc>
          <w:tcPr>
            <w:tcW w:type="dxa" w:w="2771"/>
            <w:vAlign w:val="center"/>
          </w:tcPr>
          <w:p>
            <w:pPr>
              <w:spacing w:after="0"/>
            </w:pPr>
            <w:r>
              <w:rPr>
                <w:rFonts w:ascii="Times New Roman" w:hAnsi="Times New Roman" w:eastAsia="宋体"/>
                <w:b w:val="0"/>
                <w:sz w:val="18"/>
              </w:rPr>
              <w:t>$eta_3$</w:t>
            </w:r>
          </w:p>
        </w:tc>
        <w:tc>
          <w:tcPr>
            <w:tcW w:type="dxa" w:w="2771"/>
            <w:vAlign w:val="center"/>
          </w:tcPr>
          <w:p>
            <w:pPr>
              <w:spacing w:after="0"/>
            </w:pPr>
            <w:r>
              <w:rPr>
                <w:rFonts w:ascii="Times New Roman" w:hAnsi="Times New Roman" w:eastAsia="宋体"/>
                <w:b w:val="0"/>
                <w:sz w:val="18"/>
              </w:rPr>
              <w:t>0.0462</w:t>
            </w:r>
          </w:p>
        </w:tc>
        <w:tc>
          <w:tcPr>
            <w:tcW w:type="dxa" w:w="2771"/>
            <w:vAlign w:val="center"/>
          </w:tcPr>
          <w:p>
            <w:pPr>
              <w:spacing w:after="0"/>
            </w:pPr>
            <w:r>
              <w:rPr>
                <w:rFonts w:ascii="Times New Roman" w:hAnsi="Times New Roman" w:eastAsia="宋体"/>
                <w:b w:val="0"/>
                <w:sz w:val="18"/>
              </w:rPr>
              <w:t>可行性反馈</w:t>
            </w:r>
          </w:p>
        </w:tc>
      </w:tr>
      <w:tr>
        <w:tc>
          <w:tcPr>
            <w:tcW w:type="dxa" w:w="2771"/>
            <w:vAlign w:val="center"/>
          </w:tcPr>
          <w:p>
            <w:pPr>
              <w:spacing w:after="0"/>
            </w:pPr>
            <w:r>
              <w:rPr>
                <w:rFonts w:ascii="Times New Roman" w:hAnsi="Times New Roman" w:eastAsia="宋体"/>
                <w:b w:val="0"/>
                <w:sz w:val="18"/>
              </w:rPr>
              <w:t>$eta_4$</w:t>
            </w:r>
          </w:p>
        </w:tc>
        <w:tc>
          <w:tcPr>
            <w:tcW w:type="dxa" w:w="2771"/>
            <w:vAlign w:val="center"/>
          </w:tcPr>
          <w:p>
            <w:pPr>
              <w:spacing w:after="0"/>
            </w:pPr>
            <w:r>
              <w:rPr>
                <w:rFonts w:ascii="Times New Roman" w:hAnsi="Times New Roman" w:eastAsia="宋体"/>
                <w:b w:val="0"/>
                <w:sz w:val="18"/>
              </w:rPr>
              <w:t>0.0462</w:t>
            </w:r>
          </w:p>
        </w:tc>
        <w:tc>
          <w:tcPr>
            <w:tcW w:type="dxa" w:w="2771"/>
            <w:vAlign w:val="center"/>
          </w:tcPr>
          <w:p>
            <w:pPr>
              <w:spacing w:after="0"/>
            </w:pPr>
            <w:r>
              <w:rPr>
                <w:rFonts w:ascii="Times New Roman" w:hAnsi="Times New Roman" w:eastAsia="宋体"/>
                <w:b w:val="0"/>
                <w:sz w:val="18"/>
              </w:rPr>
              <w:t>成本改善反馈</w:t>
            </w:r>
          </w:p>
        </w:tc>
      </w:tr>
      <w:tr>
        <w:tc>
          <w:tcPr>
            <w:tcW w:type="dxa" w:w="2771"/>
            <w:vAlign w:val="center"/>
          </w:tcPr>
          <w:p>
            <w:pPr>
              <w:spacing w:after="0"/>
            </w:pPr>
            <w:r>
              <w:rPr>
                <w:rFonts w:ascii="Times New Roman" w:hAnsi="Times New Roman" w:eastAsia="宋体"/>
                <w:b w:val="0"/>
                <w:sz w:val="18"/>
              </w:rPr>
              <w:t>$eta_5$</w:t>
            </w:r>
          </w:p>
        </w:tc>
        <w:tc>
          <w:tcPr>
            <w:tcW w:type="dxa" w:w="2771"/>
            <w:vAlign w:val="center"/>
          </w:tcPr>
          <w:p>
            <w:pPr>
              <w:spacing w:after="0"/>
            </w:pPr>
            <w:r>
              <w:rPr>
                <w:rFonts w:ascii="Times New Roman" w:hAnsi="Times New Roman" w:eastAsia="宋体"/>
                <w:b w:val="0"/>
                <w:sz w:val="18"/>
              </w:rPr>
              <w:t>0.0694</w:t>
            </w:r>
          </w:p>
        </w:tc>
        <w:tc>
          <w:tcPr>
            <w:tcW w:type="dxa" w:w="2771"/>
            <w:vAlign w:val="center"/>
          </w:tcPr>
          <w:p>
            <w:pPr>
              <w:spacing w:after="0"/>
            </w:pPr>
            <w:r>
              <w:rPr>
                <w:rFonts w:ascii="Times New Roman" w:hAnsi="Times New Roman" w:eastAsia="宋体"/>
                <w:b w:val="0"/>
                <w:sz w:val="18"/>
              </w:rPr>
              <w:t>服务比例改善反馈</w:t>
            </w:r>
          </w:p>
        </w:tc>
      </w:tr>
      <w:tr>
        <w:tc>
          <w:tcPr>
            <w:tcW w:type="dxa" w:w="2771"/>
            <w:vAlign w:val="center"/>
          </w:tcPr>
          <w:p>
            <w:pPr>
              <w:spacing w:after="0"/>
            </w:pPr>
            <w:r>
              <w:rPr>
                <w:rFonts w:ascii="Times New Roman" w:hAnsi="Times New Roman" w:eastAsia="宋体"/>
                <w:b w:val="0"/>
                <w:sz w:val="18"/>
              </w:rPr>
              <w:t>$eta_6$</w:t>
            </w:r>
          </w:p>
        </w:tc>
        <w:tc>
          <w:tcPr>
            <w:tcW w:type="dxa" w:w="2771"/>
            <w:vAlign w:val="center"/>
          </w:tcPr>
          <w:p>
            <w:pPr>
              <w:spacing w:after="0"/>
            </w:pPr>
            <w:r>
              <w:rPr>
                <w:rFonts w:ascii="Times New Roman" w:hAnsi="Times New Roman" w:eastAsia="宋体"/>
                <w:b w:val="0"/>
                <w:sz w:val="18"/>
              </w:rPr>
              <w:t>0.0636</w:t>
            </w:r>
          </w:p>
        </w:tc>
        <w:tc>
          <w:tcPr>
            <w:tcW w:type="dxa" w:w="2771"/>
            <w:vAlign w:val="center"/>
          </w:tcPr>
          <w:p>
            <w:pPr>
              <w:spacing w:after="0"/>
            </w:pPr>
            <w:r>
              <w:rPr>
                <w:rFonts w:ascii="Times New Roman" w:hAnsi="Times New Roman" w:eastAsia="宋体"/>
                <w:b w:val="0"/>
                <w:sz w:val="18"/>
              </w:rPr>
              <w:t>档案贡献反馈</w:t>
            </w:r>
          </w:p>
        </w:tc>
      </w:tr>
      <w:tr>
        <w:tc>
          <w:tcPr>
            <w:tcW w:type="dxa" w:w="2771"/>
            <w:vAlign w:val="center"/>
          </w:tcPr>
          <w:p>
            <w:pPr>
              <w:spacing w:after="0"/>
            </w:pPr>
            <w:r>
              <w:rPr>
                <w:rFonts w:ascii="Times New Roman" w:hAnsi="Times New Roman" w:eastAsia="宋体"/>
                <w:b w:val="0"/>
                <w:sz w:val="18"/>
              </w:rPr>
              <w:t>$eta_7$</w:t>
            </w:r>
          </w:p>
        </w:tc>
        <w:tc>
          <w:tcPr>
            <w:tcW w:type="dxa" w:w="2771"/>
            <w:vAlign w:val="center"/>
          </w:tcPr>
          <w:p>
            <w:pPr>
              <w:spacing w:after="0"/>
            </w:pPr>
            <w:r>
              <w:rPr>
                <w:rFonts w:ascii="Times New Roman" w:hAnsi="Times New Roman" w:eastAsia="宋体"/>
                <w:b w:val="0"/>
                <w:sz w:val="18"/>
              </w:rPr>
              <w:t>0.0636</w:t>
            </w:r>
          </w:p>
        </w:tc>
        <w:tc>
          <w:tcPr>
            <w:tcW w:type="dxa" w:w="2771"/>
            <w:vAlign w:val="center"/>
          </w:tcPr>
          <w:p>
            <w:pPr>
              <w:spacing w:after="0"/>
            </w:pPr>
            <w:r>
              <w:rPr>
                <w:rFonts w:ascii="Times New Roman" w:hAnsi="Times New Roman" w:eastAsia="宋体"/>
                <w:b w:val="0"/>
                <w:sz w:val="18"/>
              </w:rPr>
              <w:t>局部搜索反馈</w:t>
            </w:r>
          </w:p>
        </w:tc>
      </w:tr>
      <w:tr>
        <w:tc>
          <w:tcPr>
            <w:tcW w:type="dxa" w:w="2771"/>
            <w:vAlign w:val="center"/>
          </w:tcPr>
          <w:p>
            <w:pPr>
              <w:spacing w:after="0"/>
            </w:pPr>
            <w:r>
              <w:rPr>
                <w:rFonts w:ascii="Times New Roman" w:hAnsi="Times New Roman" w:eastAsia="宋体"/>
                <w:b w:val="0"/>
                <w:sz w:val="18"/>
              </w:rPr>
              <w:t>$eta_8$</w:t>
            </w:r>
          </w:p>
        </w:tc>
        <w:tc>
          <w:tcPr>
            <w:tcW w:type="dxa" w:w="2771"/>
            <w:vAlign w:val="center"/>
          </w:tcPr>
          <w:p>
            <w:pPr>
              <w:spacing w:after="0"/>
            </w:pPr>
            <w:r>
              <w:rPr>
                <w:rFonts w:ascii="Times New Roman" w:hAnsi="Times New Roman" w:eastAsia="宋体"/>
                <w:b w:val="0"/>
                <w:sz w:val="18"/>
              </w:rPr>
              <w:t>0.1445</w:t>
            </w:r>
          </w:p>
        </w:tc>
        <w:tc>
          <w:tcPr>
            <w:tcW w:type="dxa" w:w="2771"/>
            <w:vAlign w:val="center"/>
          </w:tcPr>
          <w:p>
            <w:pPr>
              <w:spacing w:after="0"/>
            </w:pPr>
            <w:r>
              <w:rPr>
                <w:rFonts w:ascii="Times New Roman" w:hAnsi="Times New Roman" w:eastAsia="宋体"/>
                <w:b w:val="0"/>
                <w:sz w:val="18"/>
              </w:rPr>
              <w:t>约束或负向反馈控制</w:t>
            </w:r>
          </w:p>
        </w:tc>
      </w:tr>
    </w:tbl>
    <w:p/>
    <w:p>
      <w:pPr>
        <w:pStyle w:val="Heading3"/>
      </w:pPr>
      <w:r>
        <w:t>5.3.3 QVNS-NSGA-II 求解结果与布局方案分析</w:t>
      </w:r>
    </w:p>
    <w:p>
      <w:pPr>
        <w:spacing w:line="360" w:lineRule="auto" w:after="0"/>
        <w:ind w:firstLine="420"/>
      </w:pPr>
      <w:r>
        <w:rPr>
          <w:rFonts w:ascii="Times New Roman" w:hAnsi="Times New Roman" w:eastAsia="宋体"/>
          <w:b w:val="0"/>
          <w:sz w:val="21"/>
        </w:rPr>
        <w:t>基准情景下，QVNS-NSGA-II 获得 250 个可行 Pareto 解，其中唯一目标点数量为 19。代表性运行的 Hypervolume 指标为 0.946237，IGD 为 0.015552，Spread 为 1.828303，Spacing 为 0.002127，运行时间为 91.81 s。结果说明，在当前参数设置下，算法能够形成覆盖成本低值方案、服务比例高值方案和折中方案的非支配解集，为不同决策偏好下的布局方案选择提供备选空间。</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after="0"/>
            </w:pPr>
            <w:r>
              <w:rPr>
                <w:rFonts w:ascii="Times New Roman" w:hAnsi="Times New Roman" w:eastAsia="宋体"/>
                <w:b/>
                <w:sz w:val="18"/>
              </w:rPr>
              <w:t>指标</w:t>
            </w:r>
          </w:p>
        </w:tc>
        <w:tc>
          <w:tcPr>
            <w:tcW w:type="dxa" w:w="4156"/>
            <w:vAlign w:val="center"/>
          </w:tcPr>
          <w:p>
            <w:pPr>
              <w:spacing w:after="0"/>
            </w:pPr>
            <w:r>
              <w:rPr>
                <w:rFonts w:ascii="Times New Roman" w:hAnsi="Times New Roman" w:eastAsia="宋体"/>
                <w:b/>
                <w:sz w:val="18"/>
              </w:rPr>
              <w:t>数值</w:t>
            </w:r>
          </w:p>
        </w:tc>
      </w:tr>
      <w:tr>
        <w:tc>
          <w:tcPr>
            <w:tcW w:type="dxa" w:w="4156"/>
            <w:vAlign w:val="center"/>
          </w:tcPr>
          <w:p>
            <w:pPr>
              <w:spacing w:after="0"/>
            </w:pPr>
            <w:r>
              <w:rPr>
                <w:rFonts w:ascii="Times New Roman" w:hAnsi="Times New Roman" w:eastAsia="宋体"/>
                <w:b w:val="0"/>
                <w:sz w:val="18"/>
              </w:rPr>
              <w:t>Pareto 解数量</w:t>
            </w:r>
          </w:p>
        </w:tc>
        <w:tc>
          <w:tcPr>
            <w:tcW w:type="dxa" w:w="4156"/>
            <w:vAlign w:val="center"/>
          </w:tcPr>
          <w:p>
            <w:pPr>
              <w:spacing w:after="0"/>
            </w:pPr>
            <w:r>
              <w:rPr>
                <w:rFonts w:ascii="Times New Roman" w:hAnsi="Times New Roman" w:eastAsia="宋体"/>
                <w:b w:val="0"/>
                <w:sz w:val="18"/>
              </w:rPr>
              <w:t>250</w:t>
            </w:r>
          </w:p>
        </w:tc>
      </w:tr>
      <w:tr>
        <w:tc>
          <w:tcPr>
            <w:tcW w:type="dxa" w:w="4156"/>
            <w:vAlign w:val="center"/>
          </w:tcPr>
          <w:p>
            <w:pPr>
              <w:spacing w:after="0"/>
            </w:pPr>
            <w:r>
              <w:rPr>
                <w:rFonts w:ascii="Times New Roman" w:hAnsi="Times New Roman" w:eastAsia="宋体"/>
                <w:b w:val="0"/>
                <w:sz w:val="18"/>
              </w:rPr>
              <w:t>可行 Pareto 解数量</w:t>
            </w:r>
          </w:p>
        </w:tc>
        <w:tc>
          <w:tcPr>
            <w:tcW w:type="dxa" w:w="4156"/>
            <w:vAlign w:val="center"/>
          </w:tcPr>
          <w:p>
            <w:pPr>
              <w:spacing w:after="0"/>
            </w:pPr>
            <w:r>
              <w:rPr>
                <w:rFonts w:ascii="Times New Roman" w:hAnsi="Times New Roman" w:eastAsia="宋体"/>
                <w:b w:val="0"/>
                <w:sz w:val="18"/>
              </w:rPr>
              <w:t>250</w:t>
            </w:r>
          </w:p>
        </w:tc>
      </w:tr>
      <w:tr>
        <w:tc>
          <w:tcPr>
            <w:tcW w:type="dxa" w:w="4156"/>
            <w:vAlign w:val="center"/>
          </w:tcPr>
          <w:p>
            <w:pPr>
              <w:spacing w:after="0"/>
            </w:pPr>
            <w:r>
              <w:rPr>
                <w:rFonts w:ascii="Times New Roman" w:hAnsi="Times New Roman" w:eastAsia="宋体"/>
                <w:b w:val="0"/>
                <w:sz w:val="18"/>
              </w:rPr>
              <w:t>唯一目标点数量</w:t>
            </w:r>
          </w:p>
        </w:tc>
        <w:tc>
          <w:tcPr>
            <w:tcW w:type="dxa" w:w="4156"/>
            <w:vAlign w:val="center"/>
          </w:tcPr>
          <w:p>
            <w:pPr>
              <w:spacing w:after="0"/>
            </w:pPr>
            <w:r>
              <w:rPr>
                <w:rFonts w:ascii="Times New Roman" w:hAnsi="Times New Roman" w:eastAsia="宋体"/>
                <w:b w:val="0"/>
                <w:sz w:val="18"/>
              </w:rPr>
              <w:t>19</w:t>
            </w:r>
          </w:p>
        </w:tc>
      </w:tr>
      <w:tr>
        <w:tc>
          <w:tcPr>
            <w:tcW w:type="dxa" w:w="4156"/>
            <w:vAlign w:val="center"/>
          </w:tcPr>
          <w:p>
            <w:pPr>
              <w:spacing w:after="0"/>
            </w:pPr>
            <w:r>
              <w:rPr>
                <w:rFonts w:ascii="Times New Roman" w:hAnsi="Times New Roman" w:eastAsia="宋体"/>
                <w:b w:val="0"/>
                <w:sz w:val="18"/>
              </w:rPr>
              <w:t>最小综合成本</w:t>
            </w:r>
          </w:p>
        </w:tc>
        <w:tc>
          <w:tcPr>
            <w:tcW w:type="dxa" w:w="4156"/>
            <w:vAlign w:val="center"/>
          </w:tcPr>
          <w:p>
            <w:pPr>
              <w:spacing w:after="0"/>
            </w:pPr>
            <w:r>
              <w:rPr>
                <w:rFonts w:ascii="Times New Roman" w:hAnsi="Times New Roman" w:eastAsia="宋体"/>
                <w:b w:val="0"/>
                <w:sz w:val="18"/>
              </w:rPr>
              <w:t>197270.08</w:t>
            </w:r>
          </w:p>
        </w:tc>
      </w:tr>
      <w:tr>
        <w:tc>
          <w:tcPr>
            <w:tcW w:type="dxa" w:w="4156"/>
            <w:vAlign w:val="center"/>
          </w:tcPr>
          <w:p>
            <w:pPr>
              <w:spacing w:after="0"/>
            </w:pPr>
            <w:r>
              <w:rPr>
                <w:rFonts w:ascii="Times New Roman" w:hAnsi="Times New Roman" w:eastAsia="宋体"/>
                <w:b w:val="0"/>
                <w:sz w:val="18"/>
              </w:rPr>
              <w:t>最大地铁服务比例</w:t>
            </w:r>
          </w:p>
        </w:tc>
        <w:tc>
          <w:tcPr>
            <w:tcW w:type="dxa" w:w="4156"/>
            <w:vAlign w:val="center"/>
          </w:tcPr>
          <w:p>
            <w:pPr>
              <w:spacing w:after="0"/>
            </w:pPr>
            <w:r>
              <w:rPr>
                <w:rFonts w:ascii="Times New Roman" w:hAnsi="Times New Roman" w:eastAsia="宋体"/>
                <w:b w:val="0"/>
                <w:sz w:val="18"/>
              </w:rPr>
              <w:t>0.566651</w:t>
            </w:r>
          </w:p>
        </w:tc>
      </w:tr>
      <w:tr>
        <w:tc>
          <w:tcPr>
            <w:tcW w:type="dxa" w:w="4156"/>
            <w:vAlign w:val="center"/>
          </w:tcPr>
          <w:p>
            <w:pPr>
              <w:spacing w:after="0"/>
            </w:pPr>
            <w:r>
              <w:rPr>
                <w:rFonts w:ascii="Times New Roman" w:hAnsi="Times New Roman" w:eastAsia="宋体"/>
                <w:b w:val="0"/>
                <w:sz w:val="18"/>
              </w:rPr>
              <w:t>TOPSIS 折中解编号</w:t>
            </w:r>
          </w:p>
        </w:tc>
        <w:tc>
          <w:tcPr>
            <w:tcW w:type="dxa" w:w="4156"/>
            <w:vAlign w:val="center"/>
          </w:tcPr>
          <w:p>
            <w:pPr>
              <w:spacing w:after="0"/>
            </w:pPr>
            <w:r>
              <w:rPr>
                <w:rFonts w:ascii="Times New Roman" w:hAnsi="Times New Roman" w:eastAsia="宋体"/>
                <w:b w:val="0"/>
                <w:sz w:val="18"/>
              </w:rPr>
              <w:t>68</w:t>
            </w:r>
          </w:p>
        </w:tc>
      </w:tr>
      <w:tr>
        <w:tc>
          <w:tcPr>
            <w:tcW w:type="dxa" w:w="4156"/>
            <w:vAlign w:val="center"/>
          </w:tcPr>
          <w:p>
            <w:pPr>
              <w:spacing w:after="0"/>
            </w:pPr>
            <w:r>
              <w:rPr>
                <w:rFonts w:ascii="Times New Roman" w:hAnsi="Times New Roman" w:eastAsia="宋体"/>
                <w:b w:val="0"/>
                <w:sz w:val="18"/>
              </w:rPr>
              <w:t>TOPSIS 折中解综合成本</w:t>
            </w:r>
          </w:p>
        </w:tc>
        <w:tc>
          <w:tcPr>
            <w:tcW w:type="dxa" w:w="4156"/>
            <w:vAlign w:val="center"/>
          </w:tcPr>
          <w:p>
            <w:pPr>
              <w:spacing w:after="0"/>
            </w:pPr>
            <w:r>
              <w:rPr>
                <w:rFonts w:ascii="Times New Roman" w:hAnsi="Times New Roman" w:eastAsia="宋体"/>
                <w:b w:val="0"/>
                <w:sz w:val="18"/>
              </w:rPr>
              <w:t>207005.43</w:t>
            </w:r>
          </w:p>
        </w:tc>
      </w:tr>
      <w:tr>
        <w:tc>
          <w:tcPr>
            <w:tcW w:type="dxa" w:w="4156"/>
            <w:vAlign w:val="center"/>
          </w:tcPr>
          <w:p>
            <w:pPr>
              <w:spacing w:after="0"/>
            </w:pPr>
            <w:r>
              <w:rPr>
                <w:rFonts w:ascii="Times New Roman" w:hAnsi="Times New Roman" w:eastAsia="宋体"/>
                <w:b w:val="0"/>
                <w:sz w:val="18"/>
              </w:rPr>
              <w:t>TOPSIS 折中解地铁服务比例</w:t>
            </w:r>
          </w:p>
        </w:tc>
        <w:tc>
          <w:tcPr>
            <w:tcW w:type="dxa" w:w="4156"/>
            <w:vAlign w:val="center"/>
          </w:tcPr>
          <w:p>
            <w:pPr>
              <w:spacing w:after="0"/>
            </w:pPr>
            <w:r>
              <w:rPr>
                <w:rFonts w:ascii="Times New Roman" w:hAnsi="Times New Roman" w:eastAsia="宋体"/>
                <w:b w:val="0"/>
                <w:sz w:val="18"/>
              </w:rPr>
              <w:t>0.423889</w:t>
            </w:r>
          </w:p>
        </w:tc>
      </w:tr>
      <w:tr>
        <w:tc>
          <w:tcPr>
            <w:tcW w:type="dxa" w:w="4156"/>
            <w:vAlign w:val="center"/>
          </w:tcPr>
          <w:p>
            <w:pPr>
              <w:spacing w:after="0"/>
            </w:pPr>
            <w:r>
              <w:rPr>
                <w:rFonts w:ascii="Times New Roman" w:hAnsi="Times New Roman" w:eastAsia="宋体"/>
                <w:b w:val="0"/>
                <w:sz w:val="18"/>
              </w:rPr>
              <w:t>TOPSIS 折中解启用站点数</w:t>
            </w:r>
          </w:p>
        </w:tc>
        <w:tc>
          <w:tcPr>
            <w:tcW w:type="dxa" w:w="4156"/>
            <w:vAlign w:val="center"/>
          </w:tcPr>
          <w:p>
            <w:pPr>
              <w:spacing w:after="0"/>
            </w:pPr>
            <w:r>
              <w:rPr>
                <w:rFonts w:ascii="Times New Roman" w:hAnsi="Times New Roman" w:eastAsia="宋体"/>
                <w:b w:val="0"/>
                <w:sz w:val="18"/>
              </w:rPr>
              <w:t>4</w:t>
            </w:r>
          </w:p>
        </w:tc>
      </w:tr>
      <w:tr>
        <w:tc>
          <w:tcPr>
            <w:tcW w:type="dxa" w:w="4156"/>
            <w:vAlign w:val="center"/>
          </w:tcPr>
          <w:p>
            <w:pPr>
              <w:spacing w:after="0"/>
            </w:pPr>
            <w:r>
              <w:rPr>
                <w:rFonts w:ascii="Times New Roman" w:hAnsi="Times New Roman" w:eastAsia="宋体"/>
                <w:b w:val="0"/>
                <w:sz w:val="18"/>
              </w:rPr>
              <w:t>TOPSIS 折中解地铁联运量</w:t>
            </w:r>
          </w:p>
        </w:tc>
        <w:tc>
          <w:tcPr>
            <w:tcW w:type="dxa" w:w="4156"/>
            <w:vAlign w:val="center"/>
          </w:tcPr>
          <w:p>
            <w:pPr>
              <w:spacing w:after="0"/>
            </w:pPr>
            <w:r>
              <w:rPr>
                <w:rFonts w:ascii="Times New Roman" w:hAnsi="Times New Roman" w:eastAsia="宋体"/>
                <w:b w:val="0"/>
                <w:sz w:val="18"/>
              </w:rPr>
              <w:t>28387.88 SLU/day</w:t>
            </w:r>
          </w:p>
        </w:tc>
      </w:tr>
      <w:tr>
        <w:tc>
          <w:tcPr>
            <w:tcW w:type="dxa" w:w="4156"/>
            <w:vAlign w:val="center"/>
          </w:tcPr>
          <w:p>
            <w:pPr>
              <w:spacing w:after="0"/>
            </w:pPr>
            <w:r>
              <w:rPr>
                <w:rFonts w:ascii="Times New Roman" w:hAnsi="Times New Roman" w:eastAsia="宋体"/>
                <w:b w:val="0"/>
                <w:sz w:val="18"/>
              </w:rPr>
              <w:t>TOPSIS 折中解公路直送量</w:t>
            </w:r>
          </w:p>
        </w:tc>
        <w:tc>
          <w:tcPr>
            <w:tcW w:type="dxa" w:w="4156"/>
            <w:vAlign w:val="center"/>
          </w:tcPr>
          <w:p>
            <w:pPr>
              <w:spacing w:after="0"/>
            </w:pPr>
            <w:r>
              <w:rPr>
                <w:rFonts w:ascii="Times New Roman" w:hAnsi="Times New Roman" w:eastAsia="宋体"/>
                <w:b w:val="0"/>
                <w:sz w:val="18"/>
              </w:rPr>
              <w:t>38582.15 SLU/day</w:t>
            </w:r>
          </w:p>
        </w:tc>
      </w:tr>
      <w:tr>
        <w:tc>
          <w:tcPr>
            <w:tcW w:type="dxa" w:w="4156"/>
            <w:vAlign w:val="center"/>
          </w:tcPr>
          <w:p>
            <w:pPr>
              <w:spacing w:after="0"/>
            </w:pPr>
            <w:r>
              <w:rPr>
                <w:rFonts w:ascii="Times New Roman" w:hAnsi="Times New Roman" w:eastAsia="宋体"/>
                <w:b w:val="0"/>
                <w:sz w:val="18"/>
              </w:rPr>
              <w:t>TOPSIS 折中解碳排放</w:t>
            </w:r>
          </w:p>
        </w:tc>
        <w:tc>
          <w:tcPr>
            <w:tcW w:type="dxa" w:w="4156"/>
            <w:vAlign w:val="center"/>
          </w:tcPr>
          <w:p>
            <w:pPr>
              <w:spacing w:after="0"/>
            </w:pPr>
            <w:r>
              <w:rPr>
                <w:rFonts w:ascii="Times New Roman" w:hAnsi="Times New Roman" w:eastAsia="宋体"/>
                <w:b w:val="0"/>
                <w:sz w:val="18"/>
              </w:rPr>
              <w:t>0.327277 tCO2/day</w:t>
            </w:r>
          </w:p>
        </w:tc>
      </w:tr>
      <w:tr>
        <w:tc>
          <w:tcPr>
            <w:tcW w:type="dxa" w:w="4156"/>
            <w:vAlign w:val="center"/>
          </w:tcPr>
          <w:p>
            <w:pPr>
              <w:spacing w:after="0"/>
            </w:pPr>
            <w:r>
              <w:rPr>
                <w:rFonts w:ascii="Times New Roman" w:hAnsi="Times New Roman" w:eastAsia="宋体"/>
                <w:b w:val="0"/>
                <w:sz w:val="18"/>
              </w:rPr>
              <w:t>平均末端接驳距离</w:t>
            </w:r>
          </w:p>
        </w:tc>
        <w:tc>
          <w:tcPr>
            <w:tcW w:type="dxa" w:w="4156"/>
            <w:vAlign w:val="center"/>
          </w:tcPr>
          <w:p>
            <w:pPr>
              <w:spacing w:after="0"/>
            </w:pPr>
            <w:r>
              <w:rPr>
                <w:rFonts w:ascii="Times New Roman" w:hAnsi="Times New Roman" w:eastAsia="宋体"/>
                <w:b w:val="0"/>
                <w:sz w:val="18"/>
              </w:rPr>
              <w:t>2.648463 km</w:t>
            </w:r>
          </w:p>
        </w:tc>
      </w:tr>
      <w:tr>
        <w:tc>
          <w:tcPr>
            <w:tcW w:type="dxa" w:w="4156"/>
            <w:vAlign w:val="center"/>
          </w:tcPr>
          <w:p>
            <w:pPr>
              <w:spacing w:after="0"/>
            </w:pPr>
            <w:r>
              <w:rPr>
                <w:rFonts w:ascii="Times New Roman" w:hAnsi="Times New Roman" w:eastAsia="宋体"/>
                <w:b w:val="0"/>
                <w:sz w:val="18"/>
              </w:rPr>
              <w:t>已占用列车班次数</w:t>
            </w:r>
          </w:p>
        </w:tc>
        <w:tc>
          <w:tcPr>
            <w:tcW w:type="dxa" w:w="4156"/>
            <w:vAlign w:val="center"/>
          </w:tcPr>
          <w:p>
            <w:pPr>
              <w:spacing w:after="0"/>
            </w:pPr>
            <w:r>
              <w:rPr>
                <w:rFonts w:ascii="Times New Roman" w:hAnsi="Times New Roman" w:eastAsia="宋体"/>
                <w:b w:val="0"/>
                <w:sz w:val="18"/>
              </w:rPr>
              <w:t>9</w:t>
            </w:r>
          </w:p>
        </w:tc>
      </w:tr>
    </w:tbl>
    <w:p/>
    <w:p>
      <w:pPr>
        <w:spacing w:line="360" w:lineRule="auto" w:after="0"/>
        <w:ind w:firstLine="420"/>
      </w:pPr>
      <w:r>
        <w:rPr>
          <w:rFonts w:ascii="Times New Roman" w:hAnsi="Times New Roman" w:eastAsia="宋体"/>
          <w:b w:val="0"/>
          <w:sz w:val="21"/>
        </w:rPr>
        <w:t>在默认等权 TOPSIS 后评价下，折中布局方案启用火车南站、高升桥、省体育馆和太平园四个地铁物流配送转运点。该方案的综合成本为 207005.43，地铁服务比例为 0.423889，地铁联运货流量为 28387.88 SLU/day，公路直送货流量为 38582.15 SLU/day。与最小成本方案相比，折中方案承担了更高的地铁服务比例；与最大服务比例方案相比，折中方案避免为进一步提高地铁联运比例而付出过高的固定启用成本、短驳成本和站内作业成本。</w:t>
      </w:r>
    </w:p>
    <w:p>
      <w:pPr>
        <w:spacing w:line="360" w:lineRule="auto" w:after="0"/>
        <w:ind w:firstLine="420"/>
      </w:pPr>
      <w:r>
        <w:rPr>
          <w:rFonts w:ascii="Times New Roman" w:hAnsi="Times New Roman" w:eastAsia="宋体"/>
          <w:b w:val="0"/>
          <w:sz w:val="21"/>
        </w:rPr>
        <w:t>从空间结构看，火车南站和太平园具有较强的干线组织和区域集散能力，高升桥和省体育馆则对武侯区内部及相邻中心城区末端需求形成补充覆盖。四个启用站点共同构成相对均衡的出网枢纽层，既避免候选点过度集中于单一线路，也减少末端服务半径约束下的需求遗漏。该结果表明，最终布局方案并非简单选择第三章综合评价排名最靠前的站点，而是在全网货流分配、站点容量和地铁线路能力约束下形成的组合优化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Pr>
          <w:p>
            <w:pPr>
              <w:spacing w:after="0"/>
            </w:pPr>
            <w:r>
              <w:rPr>
                <w:rFonts w:ascii="Times New Roman" w:hAnsi="Times New Roman" w:eastAsia="宋体"/>
                <w:b/>
                <w:sz w:val="18"/>
              </w:rPr>
              <w:t>启用站点</w:t>
            </w:r>
          </w:p>
        </w:tc>
        <w:tc>
          <w:tcPr>
            <w:tcW w:type="dxa" w:w="1662"/>
            <w:vAlign w:val="center"/>
          </w:tcPr>
          <w:p>
            <w:pPr>
              <w:spacing w:after="0"/>
            </w:pPr>
            <w:r>
              <w:rPr>
                <w:rFonts w:ascii="Times New Roman" w:hAnsi="Times New Roman" w:eastAsia="宋体"/>
                <w:b/>
                <w:sz w:val="18"/>
              </w:rPr>
              <w:t>类型</w:t>
            </w:r>
          </w:p>
        </w:tc>
        <w:tc>
          <w:tcPr>
            <w:tcW w:type="dxa" w:w="1662"/>
            <w:vAlign w:val="center"/>
          </w:tcPr>
          <w:p>
            <w:pPr>
              <w:spacing w:after="0"/>
            </w:pPr>
            <w:r>
              <w:rPr>
                <w:rFonts w:ascii="Times New Roman" w:hAnsi="Times New Roman" w:eastAsia="宋体"/>
                <w:b/>
                <w:sz w:val="18"/>
              </w:rPr>
              <w:t>分配流量（SLU/day）</w:t>
            </w:r>
          </w:p>
        </w:tc>
        <w:tc>
          <w:tcPr>
            <w:tcW w:type="dxa" w:w="1662"/>
            <w:vAlign w:val="center"/>
          </w:tcPr>
          <w:p>
            <w:pPr>
              <w:spacing w:after="0"/>
            </w:pPr>
            <w:r>
              <w:rPr>
                <w:rFonts w:ascii="Times New Roman" w:hAnsi="Times New Roman" w:eastAsia="宋体"/>
                <w:b/>
                <w:sz w:val="18"/>
              </w:rPr>
              <w:t>处理能力（SLU/day）</w:t>
            </w:r>
          </w:p>
        </w:tc>
        <w:tc>
          <w:tcPr>
            <w:tcW w:type="dxa" w:w="1662"/>
            <w:vAlign w:val="center"/>
          </w:tcPr>
          <w:p>
            <w:pPr>
              <w:spacing w:after="0"/>
            </w:pPr>
            <w:r>
              <w:rPr>
                <w:rFonts w:ascii="Times New Roman" w:hAnsi="Times New Roman" w:eastAsia="宋体"/>
                <w:b/>
                <w:sz w:val="18"/>
              </w:rPr>
              <w:t>负载率</w:t>
            </w:r>
          </w:p>
        </w:tc>
      </w:tr>
      <w:tr>
        <w:tc>
          <w:tcPr>
            <w:tcW w:type="dxa" w:w="1662"/>
            <w:vAlign w:val="center"/>
          </w:tcPr>
          <w:p>
            <w:pPr>
              <w:spacing w:after="0"/>
            </w:pPr>
            <w:r>
              <w:rPr>
                <w:rFonts w:ascii="Times New Roman" w:hAnsi="Times New Roman" w:eastAsia="宋体"/>
                <w:b w:val="0"/>
                <w:sz w:val="18"/>
              </w:rPr>
              <w:t>火车南站</w:t>
            </w:r>
          </w:p>
        </w:tc>
        <w:tc>
          <w:tcPr>
            <w:tcW w:type="dxa" w:w="1662"/>
            <w:vAlign w:val="center"/>
          </w:tcPr>
          <w:p>
            <w:pPr>
              <w:spacing w:after="0"/>
            </w:pPr>
            <w:r>
              <w:rPr>
                <w:rFonts w:ascii="Times New Roman" w:hAnsi="Times New Roman" w:eastAsia="宋体"/>
                <w:b w:val="0"/>
                <w:sz w:val="18"/>
              </w:rPr>
              <w:t>HB</w:t>
            </w:r>
          </w:p>
        </w:tc>
        <w:tc>
          <w:tcPr>
            <w:tcW w:type="dxa" w:w="1662"/>
            <w:vAlign w:val="center"/>
          </w:tcPr>
          <w:p>
            <w:pPr>
              <w:spacing w:after="0"/>
            </w:pPr>
            <w:r>
              <w:rPr>
                <w:rFonts w:ascii="Times New Roman" w:hAnsi="Times New Roman" w:eastAsia="宋体"/>
                <w:b w:val="0"/>
                <w:sz w:val="18"/>
              </w:rPr>
              <w:t>8422.60</w:t>
            </w:r>
          </w:p>
        </w:tc>
        <w:tc>
          <w:tcPr>
            <w:tcW w:type="dxa" w:w="1662"/>
            <w:vAlign w:val="center"/>
          </w:tcPr>
          <w:p>
            <w:pPr>
              <w:spacing w:after="0"/>
            </w:pPr>
            <w:r>
              <w:rPr>
                <w:rFonts w:ascii="Times New Roman" w:hAnsi="Times New Roman" w:eastAsia="宋体"/>
                <w:b w:val="0"/>
                <w:sz w:val="18"/>
              </w:rPr>
              <w:t>10000</w:t>
            </w:r>
          </w:p>
        </w:tc>
        <w:tc>
          <w:tcPr>
            <w:tcW w:type="dxa" w:w="1662"/>
            <w:vAlign w:val="center"/>
          </w:tcPr>
          <w:p>
            <w:pPr>
              <w:spacing w:after="0"/>
            </w:pPr>
            <w:r>
              <w:rPr>
                <w:rFonts w:ascii="Times New Roman" w:hAnsi="Times New Roman" w:eastAsia="宋体"/>
                <w:b w:val="0"/>
                <w:sz w:val="18"/>
              </w:rPr>
              <w:t>0.842260</w:t>
            </w:r>
          </w:p>
        </w:tc>
      </w:tr>
      <w:tr>
        <w:tc>
          <w:tcPr>
            <w:tcW w:type="dxa" w:w="1662"/>
            <w:vAlign w:val="center"/>
          </w:tcPr>
          <w:p>
            <w:pPr>
              <w:spacing w:after="0"/>
            </w:pPr>
            <w:r>
              <w:rPr>
                <w:rFonts w:ascii="Times New Roman" w:hAnsi="Times New Roman" w:eastAsia="宋体"/>
                <w:b w:val="0"/>
                <w:sz w:val="18"/>
              </w:rPr>
              <w:t>高升桥</w:t>
            </w:r>
          </w:p>
        </w:tc>
        <w:tc>
          <w:tcPr>
            <w:tcW w:type="dxa" w:w="1662"/>
            <w:vAlign w:val="center"/>
          </w:tcPr>
          <w:p>
            <w:pPr>
              <w:spacing w:after="0"/>
            </w:pPr>
            <w:r>
              <w:rPr>
                <w:rFonts w:ascii="Times New Roman" w:hAnsi="Times New Roman" w:eastAsia="宋体"/>
                <w:b w:val="0"/>
                <w:sz w:val="18"/>
              </w:rPr>
              <w:t>TR</w:t>
            </w:r>
          </w:p>
        </w:tc>
        <w:tc>
          <w:tcPr>
            <w:tcW w:type="dxa" w:w="1662"/>
            <w:vAlign w:val="center"/>
          </w:tcPr>
          <w:p>
            <w:pPr>
              <w:spacing w:after="0"/>
            </w:pPr>
            <w:r>
              <w:rPr>
                <w:rFonts w:ascii="Times New Roman" w:hAnsi="Times New Roman" w:eastAsia="宋体"/>
                <w:b w:val="0"/>
                <w:sz w:val="18"/>
              </w:rPr>
              <w:t>5885.92</w:t>
            </w:r>
          </w:p>
        </w:tc>
        <w:tc>
          <w:tcPr>
            <w:tcW w:type="dxa" w:w="1662"/>
            <w:vAlign w:val="center"/>
          </w:tcPr>
          <w:p>
            <w:pPr>
              <w:spacing w:after="0"/>
            </w:pPr>
            <w:r>
              <w:rPr>
                <w:rFonts w:ascii="Times New Roman" w:hAnsi="Times New Roman" w:eastAsia="宋体"/>
                <w:b w:val="0"/>
                <w:sz w:val="18"/>
              </w:rPr>
              <w:t>7000</w:t>
            </w:r>
          </w:p>
        </w:tc>
        <w:tc>
          <w:tcPr>
            <w:tcW w:type="dxa" w:w="1662"/>
            <w:vAlign w:val="center"/>
          </w:tcPr>
          <w:p>
            <w:pPr>
              <w:spacing w:after="0"/>
            </w:pPr>
            <w:r>
              <w:rPr>
                <w:rFonts w:ascii="Times New Roman" w:hAnsi="Times New Roman" w:eastAsia="宋体"/>
                <w:b w:val="0"/>
                <w:sz w:val="18"/>
              </w:rPr>
              <w:t>0.840845</w:t>
            </w:r>
          </w:p>
        </w:tc>
      </w:tr>
      <w:tr>
        <w:tc>
          <w:tcPr>
            <w:tcW w:type="dxa" w:w="1662"/>
            <w:vAlign w:val="center"/>
          </w:tcPr>
          <w:p>
            <w:pPr>
              <w:spacing w:after="0"/>
            </w:pPr>
            <w:r>
              <w:rPr>
                <w:rFonts w:ascii="Times New Roman" w:hAnsi="Times New Roman" w:eastAsia="宋体"/>
                <w:b w:val="0"/>
                <w:sz w:val="18"/>
              </w:rPr>
              <w:t>省体育馆</w:t>
            </w:r>
          </w:p>
        </w:tc>
        <w:tc>
          <w:tcPr>
            <w:tcW w:type="dxa" w:w="1662"/>
            <w:vAlign w:val="center"/>
          </w:tcPr>
          <w:p>
            <w:pPr>
              <w:spacing w:after="0"/>
            </w:pPr>
            <w:r>
              <w:rPr>
                <w:rFonts w:ascii="Times New Roman" w:hAnsi="Times New Roman" w:eastAsia="宋体"/>
                <w:b w:val="0"/>
                <w:sz w:val="18"/>
              </w:rPr>
              <w:t>TR</w:t>
            </w:r>
          </w:p>
        </w:tc>
        <w:tc>
          <w:tcPr>
            <w:tcW w:type="dxa" w:w="1662"/>
            <w:vAlign w:val="center"/>
          </w:tcPr>
          <w:p>
            <w:pPr>
              <w:spacing w:after="0"/>
            </w:pPr>
            <w:r>
              <w:rPr>
                <w:rFonts w:ascii="Times New Roman" w:hAnsi="Times New Roman" w:eastAsia="宋体"/>
                <w:b w:val="0"/>
                <w:sz w:val="18"/>
              </w:rPr>
              <w:t>5780.39</w:t>
            </w:r>
          </w:p>
        </w:tc>
        <w:tc>
          <w:tcPr>
            <w:tcW w:type="dxa" w:w="1662"/>
            <w:vAlign w:val="center"/>
          </w:tcPr>
          <w:p>
            <w:pPr>
              <w:spacing w:after="0"/>
            </w:pPr>
            <w:r>
              <w:rPr>
                <w:rFonts w:ascii="Times New Roman" w:hAnsi="Times New Roman" w:eastAsia="宋体"/>
                <w:b w:val="0"/>
                <w:sz w:val="18"/>
              </w:rPr>
              <w:t>7000</w:t>
            </w:r>
          </w:p>
        </w:tc>
        <w:tc>
          <w:tcPr>
            <w:tcW w:type="dxa" w:w="1662"/>
            <w:vAlign w:val="center"/>
          </w:tcPr>
          <w:p>
            <w:pPr>
              <w:spacing w:after="0"/>
            </w:pPr>
            <w:r>
              <w:rPr>
                <w:rFonts w:ascii="Times New Roman" w:hAnsi="Times New Roman" w:eastAsia="宋体"/>
                <w:b w:val="0"/>
                <w:sz w:val="18"/>
              </w:rPr>
              <w:t>0.825769</w:t>
            </w:r>
          </w:p>
        </w:tc>
      </w:tr>
      <w:tr>
        <w:tc>
          <w:tcPr>
            <w:tcW w:type="dxa" w:w="1662"/>
            <w:vAlign w:val="center"/>
          </w:tcPr>
          <w:p>
            <w:pPr>
              <w:spacing w:after="0"/>
            </w:pPr>
            <w:r>
              <w:rPr>
                <w:rFonts w:ascii="Times New Roman" w:hAnsi="Times New Roman" w:eastAsia="宋体"/>
                <w:b w:val="0"/>
                <w:sz w:val="18"/>
              </w:rPr>
              <w:t>太平园</w:t>
            </w:r>
          </w:p>
        </w:tc>
        <w:tc>
          <w:tcPr>
            <w:tcW w:type="dxa" w:w="1662"/>
            <w:vAlign w:val="center"/>
          </w:tcPr>
          <w:p>
            <w:pPr>
              <w:spacing w:after="0"/>
            </w:pPr>
            <w:r>
              <w:rPr>
                <w:rFonts w:ascii="Times New Roman" w:hAnsi="Times New Roman" w:eastAsia="宋体"/>
                <w:b w:val="0"/>
                <w:sz w:val="18"/>
              </w:rPr>
              <w:t>HB</w:t>
            </w:r>
          </w:p>
        </w:tc>
        <w:tc>
          <w:tcPr>
            <w:tcW w:type="dxa" w:w="1662"/>
            <w:vAlign w:val="center"/>
          </w:tcPr>
          <w:p>
            <w:pPr>
              <w:spacing w:after="0"/>
            </w:pPr>
            <w:r>
              <w:rPr>
                <w:rFonts w:ascii="Times New Roman" w:hAnsi="Times New Roman" w:eastAsia="宋体"/>
                <w:b w:val="0"/>
                <w:sz w:val="18"/>
              </w:rPr>
              <w:t>8298.97</w:t>
            </w:r>
          </w:p>
        </w:tc>
        <w:tc>
          <w:tcPr>
            <w:tcW w:type="dxa" w:w="1662"/>
            <w:vAlign w:val="center"/>
          </w:tcPr>
          <w:p>
            <w:pPr>
              <w:spacing w:after="0"/>
            </w:pPr>
            <w:r>
              <w:rPr>
                <w:rFonts w:ascii="Times New Roman" w:hAnsi="Times New Roman" w:eastAsia="宋体"/>
                <w:b w:val="0"/>
                <w:sz w:val="18"/>
              </w:rPr>
              <w:t>10000</w:t>
            </w:r>
          </w:p>
        </w:tc>
        <w:tc>
          <w:tcPr>
            <w:tcW w:type="dxa" w:w="1662"/>
            <w:vAlign w:val="center"/>
          </w:tcPr>
          <w:p>
            <w:pPr>
              <w:spacing w:after="0"/>
            </w:pPr>
            <w:r>
              <w:rPr>
                <w:rFonts w:ascii="Times New Roman" w:hAnsi="Times New Roman" w:eastAsia="宋体"/>
                <w:b w:val="0"/>
                <w:sz w:val="18"/>
              </w:rPr>
              <w:t>0.829897</w:t>
            </w:r>
          </w:p>
        </w:tc>
      </w:tr>
    </w:tbl>
    <w:p/>
    <w:p>
      <w:pPr>
        <w:spacing w:line="360" w:lineRule="auto" w:after="0"/>
        <w:ind w:firstLine="420"/>
      </w:pPr>
      <w:r>
        <w:rPr>
          <w:rFonts w:ascii="Times New Roman" w:hAnsi="Times New Roman" w:eastAsia="宋体"/>
          <w:b w:val="0"/>
          <w:sz w:val="21"/>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pPr>
        <w:spacing w:line="360" w:lineRule="auto" w:after="0"/>
        <w:ind w:firstLine="420"/>
      </w:pPr>
      <w:r>
        <w:rPr>
          <w:rFonts w:ascii="Times New Roman" w:hAnsi="Times New Roman" w:eastAsia="宋体"/>
          <w:b w:val="0"/>
          <w:sz w:val="21"/>
        </w:rPr>
        <w:t>地铁线路班次占用结果进一步表明，折中方案共占用 9 个平峰期列车班次。部分线路班次装载率接近能力上限，但均未违反班次装载能力约束。例如，3 号线第一班装载率为 0.987925，10 号线第一班和第二班装载率分别为 0.998807 和 0.997785。该现象说明地铁联运方案在宏观能力上可行，但对部分线路的班次组织精度要求较高，后续若进入运营实施层面，需要进一步结合具体列车运行图、站台作业窗口和装卸作业时间进行微观校核。</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spacing w:after="0"/>
            </w:pPr>
            <w:r>
              <w:rPr>
                <w:rFonts w:ascii="Times New Roman" w:hAnsi="Times New Roman" w:eastAsia="宋体"/>
                <w:b/>
                <w:sz w:val="18"/>
              </w:rPr>
              <w:t>线路及班次</w:t>
            </w:r>
          </w:p>
        </w:tc>
        <w:tc>
          <w:tcPr>
            <w:tcW w:type="dxa" w:w="2078"/>
            <w:vAlign w:val="center"/>
          </w:tcPr>
          <w:p>
            <w:pPr>
              <w:spacing w:after="0"/>
            </w:pPr>
            <w:r>
              <w:rPr>
                <w:rFonts w:ascii="Times New Roman" w:hAnsi="Times New Roman" w:eastAsia="宋体"/>
                <w:b/>
                <w:sz w:val="18"/>
              </w:rPr>
              <w:t>装载量（SLU）</w:t>
            </w:r>
          </w:p>
        </w:tc>
        <w:tc>
          <w:tcPr>
            <w:tcW w:type="dxa" w:w="2078"/>
            <w:vAlign w:val="center"/>
          </w:tcPr>
          <w:p>
            <w:pPr>
              <w:spacing w:after="0"/>
            </w:pPr>
            <w:r>
              <w:rPr>
                <w:rFonts w:ascii="Times New Roman" w:hAnsi="Times New Roman" w:eastAsia="宋体"/>
                <w:b/>
                <w:sz w:val="18"/>
              </w:rPr>
              <w:t>可用能力（SLU）</w:t>
            </w:r>
          </w:p>
        </w:tc>
        <w:tc>
          <w:tcPr>
            <w:tcW w:type="dxa" w:w="2078"/>
            <w:vAlign w:val="center"/>
          </w:tcPr>
          <w:p>
            <w:pPr>
              <w:spacing w:after="0"/>
            </w:pPr>
            <w:r>
              <w:rPr>
                <w:rFonts w:ascii="Times New Roman" w:hAnsi="Times New Roman" w:eastAsia="宋体"/>
                <w:b/>
                <w:sz w:val="18"/>
              </w:rPr>
              <w:t>装载率</w:t>
            </w:r>
          </w:p>
        </w:tc>
      </w:tr>
      <w:tr>
        <w:tc>
          <w:tcPr>
            <w:tcW w:type="dxa" w:w="2078"/>
            <w:vAlign w:val="center"/>
          </w:tcPr>
          <w:p>
            <w:pPr>
              <w:spacing w:after="0"/>
            </w:pPr>
            <w:r>
              <w:rPr>
                <w:rFonts w:ascii="Times New Roman" w:hAnsi="Times New Roman" w:eastAsia="宋体"/>
                <w:b w:val="0"/>
                <w:sz w:val="18"/>
              </w:rPr>
              <w:t>1 号线 第 1 班</w:t>
            </w:r>
          </w:p>
        </w:tc>
        <w:tc>
          <w:tcPr>
            <w:tcW w:type="dxa" w:w="2078"/>
            <w:vAlign w:val="center"/>
          </w:tcPr>
          <w:p>
            <w:pPr>
              <w:spacing w:after="0"/>
            </w:pPr>
            <w:r>
              <w:rPr>
                <w:rFonts w:ascii="Times New Roman" w:hAnsi="Times New Roman" w:eastAsia="宋体"/>
                <w:b w:val="0"/>
                <w:sz w:val="18"/>
              </w:rPr>
              <w:t>3201.39</w:t>
            </w:r>
          </w:p>
        </w:tc>
        <w:tc>
          <w:tcPr>
            <w:tcW w:type="dxa" w:w="2078"/>
            <w:vAlign w:val="center"/>
          </w:tcPr>
          <w:p>
            <w:pPr>
              <w:spacing w:after="0"/>
            </w:pPr>
            <w:r>
              <w:rPr>
                <w:rFonts w:ascii="Times New Roman" w:hAnsi="Times New Roman" w:eastAsia="宋体"/>
                <w:b w:val="0"/>
                <w:sz w:val="18"/>
              </w:rPr>
              <w:t>7560</w:t>
            </w:r>
          </w:p>
        </w:tc>
        <w:tc>
          <w:tcPr>
            <w:tcW w:type="dxa" w:w="2078"/>
            <w:vAlign w:val="center"/>
          </w:tcPr>
          <w:p>
            <w:pPr>
              <w:spacing w:after="0"/>
            </w:pPr>
            <w:r>
              <w:rPr>
                <w:rFonts w:ascii="Times New Roman" w:hAnsi="Times New Roman" w:eastAsia="宋体"/>
                <w:b w:val="0"/>
                <w:sz w:val="18"/>
              </w:rPr>
              <w:t>0.423465</w:t>
            </w:r>
          </w:p>
        </w:tc>
      </w:tr>
      <w:tr>
        <w:tc>
          <w:tcPr>
            <w:tcW w:type="dxa" w:w="2078"/>
            <w:vAlign w:val="center"/>
          </w:tcPr>
          <w:p>
            <w:pPr>
              <w:spacing w:after="0"/>
            </w:pPr>
            <w:r>
              <w:rPr>
                <w:rFonts w:ascii="Times New Roman" w:hAnsi="Times New Roman" w:eastAsia="宋体"/>
                <w:b w:val="0"/>
                <w:sz w:val="18"/>
              </w:rPr>
              <w:t>3 号线 第 1 班</w:t>
            </w:r>
          </w:p>
        </w:tc>
        <w:tc>
          <w:tcPr>
            <w:tcW w:type="dxa" w:w="2078"/>
            <w:vAlign w:val="center"/>
          </w:tcPr>
          <w:p>
            <w:pPr>
              <w:spacing w:after="0"/>
            </w:pPr>
            <w:r>
              <w:rPr>
                <w:rFonts w:ascii="Times New Roman" w:hAnsi="Times New Roman" w:eastAsia="宋体"/>
                <w:b w:val="0"/>
                <w:sz w:val="18"/>
              </w:rPr>
              <w:t>7468.71</w:t>
            </w:r>
          </w:p>
        </w:tc>
        <w:tc>
          <w:tcPr>
            <w:tcW w:type="dxa" w:w="2078"/>
            <w:vAlign w:val="center"/>
          </w:tcPr>
          <w:p>
            <w:pPr>
              <w:spacing w:after="0"/>
            </w:pPr>
            <w:r>
              <w:rPr>
                <w:rFonts w:ascii="Times New Roman" w:hAnsi="Times New Roman" w:eastAsia="宋体"/>
                <w:b w:val="0"/>
                <w:sz w:val="18"/>
              </w:rPr>
              <w:t>7560</w:t>
            </w:r>
          </w:p>
        </w:tc>
        <w:tc>
          <w:tcPr>
            <w:tcW w:type="dxa" w:w="2078"/>
            <w:vAlign w:val="center"/>
          </w:tcPr>
          <w:p>
            <w:pPr>
              <w:spacing w:after="0"/>
            </w:pPr>
            <w:r>
              <w:rPr>
                <w:rFonts w:ascii="Times New Roman" w:hAnsi="Times New Roman" w:eastAsia="宋体"/>
                <w:b w:val="0"/>
                <w:sz w:val="18"/>
              </w:rPr>
              <w:t>0.987925</w:t>
            </w:r>
          </w:p>
        </w:tc>
      </w:tr>
      <w:tr>
        <w:tc>
          <w:tcPr>
            <w:tcW w:type="dxa" w:w="2078"/>
            <w:vAlign w:val="center"/>
          </w:tcPr>
          <w:p>
            <w:pPr>
              <w:spacing w:after="0"/>
            </w:pPr>
            <w:r>
              <w:rPr>
                <w:rFonts w:ascii="Times New Roman" w:hAnsi="Times New Roman" w:eastAsia="宋体"/>
                <w:b w:val="0"/>
                <w:sz w:val="18"/>
              </w:rPr>
              <w:t>3 号线 第 2 班</w:t>
            </w:r>
          </w:p>
        </w:tc>
        <w:tc>
          <w:tcPr>
            <w:tcW w:type="dxa" w:w="2078"/>
            <w:vAlign w:val="center"/>
          </w:tcPr>
          <w:p>
            <w:pPr>
              <w:spacing w:after="0"/>
            </w:pPr>
            <w:r>
              <w:rPr>
                <w:rFonts w:ascii="Times New Roman" w:hAnsi="Times New Roman" w:eastAsia="宋体"/>
                <w:b w:val="0"/>
                <w:sz w:val="18"/>
              </w:rPr>
              <w:t>2735.58</w:t>
            </w:r>
          </w:p>
        </w:tc>
        <w:tc>
          <w:tcPr>
            <w:tcW w:type="dxa" w:w="2078"/>
            <w:vAlign w:val="center"/>
          </w:tcPr>
          <w:p>
            <w:pPr>
              <w:spacing w:after="0"/>
            </w:pPr>
            <w:r>
              <w:rPr>
                <w:rFonts w:ascii="Times New Roman" w:hAnsi="Times New Roman" w:eastAsia="宋体"/>
                <w:b w:val="0"/>
                <w:sz w:val="18"/>
              </w:rPr>
              <w:t>7560</w:t>
            </w:r>
          </w:p>
        </w:tc>
        <w:tc>
          <w:tcPr>
            <w:tcW w:type="dxa" w:w="2078"/>
            <w:vAlign w:val="center"/>
          </w:tcPr>
          <w:p>
            <w:pPr>
              <w:spacing w:after="0"/>
            </w:pPr>
            <w:r>
              <w:rPr>
                <w:rFonts w:ascii="Times New Roman" w:hAnsi="Times New Roman" w:eastAsia="宋体"/>
                <w:b w:val="0"/>
                <w:sz w:val="18"/>
              </w:rPr>
              <w:t>0.361850</w:t>
            </w:r>
          </w:p>
        </w:tc>
      </w:tr>
      <w:tr>
        <w:tc>
          <w:tcPr>
            <w:tcW w:type="dxa" w:w="2078"/>
            <w:vAlign w:val="center"/>
          </w:tcPr>
          <w:p>
            <w:pPr>
              <w:spacing w:after="0"/>
            </w:pPr>
            <w:r>
              <w:rPr>
                <w:rFonts w:ascii="Times New Roman" w:hAnsi="Times New Roman" w:eastAsia="宋体"/>
                <w:b w:val="0"/>
                <w:sz w:val="18"/>
              </w:rPr>
              <w:t>7 号线 第 1 班</w:t>
            </w:r>
          </w:p>
        </w:tc>
        <w:tc>
          <w:tcPr>
            <w:tcW w:type="dxa" w:w="2078"/>
            <w:vAlign w:val="center"/>
          </w:tcPr>
          <w:p>
            <w:pPr>
              <w:spacing w:after="0"/>
            </w:pPr>
            <w:r>
              <w:rPr>
                <w:rFonts w:ascii="Times New Roman" w:hAnsi="Times New Roman" w:eastAsia="宋体"/>
                <w:b w:val="0"/>
                <w:sz w:val="18"/>
              </w:rPr>
              <w:t>8578.53</w:t>
            </w:r>
          </w:p>
        </w:tc>
        <w:tc>
          <w:tcPr>
            <w:tcW w:type="dxa" w:w="2078"/>
            <w:vAlign w:val="center"/>
          </w:tcPr>
          <w:p>
            <w:pPr>
              <w:spacing w:after="0"/>
            </w:pPr>
            <w:r>
              <w:rPr>
                <w:rFonts w:ascii="Times New Roman" w:hAnsi="Times New Roman" w:eastAsia="宋体"/>
                <w:b w:val="0"/>
                <w:sz w:val="18"/>
              </w:rPr>
              <w:t>9702</w:t>
            </w:r>
          </w:p>
        </w:tc>
        <w:tc>
          <w:tcPr>
            <w:tcW w:type="dxa" w:w="2078"/>
            <w:vAlign w:val="center"/>
          </w:tcPr>
          <w:p>
            <w:pPr>
              <w:spacing w:after="0"/>
            </w:pPr>
            <w:r>
              <w:rPr>
                <w:rFonts w:ascii="Times New Roman" w:hAnsi="Times New Roman" w:eastAsia="宋体"/>
                <w:b w:val="0"/>
                <w:sz w:val="18"/>
              </w:rPr>
              <w:t>0.884202</w:t>
            </w:r>
          </w:p>
        </w:tc>
      </w:tr>
      <w:tr>
        <w:tc>
          <w:tcPr>
            <w:tcW w:type="dxa" w:w="2078"/>
            <w:vAlign w:val="center"/>
          </w:tcPr>
          <w:p>
            <w:pPr>
              <w:spacing w:after="0"/>
            </w:pPr>
            <w:r>
              <w:rPr>
                <w:rFonts w:ascii="Times New Roman" w:hAnsi="Times New Roman" w:eastAsia="宋体"/>
                <w:b w:val="0"/>
                <w:sz w:val="18"/>
              </w:rPr>
              <w:t>8 号线 第 1 班</w:t>
            </w:r>
          </w:p>
        </w:tc>
        <w:tc>
          <w:tcPr>
            <w:tcW w:type="dxa" w:w="2078"/>
            <w:vAlign w:val="center"/>
          </w:tcPr>
          <w:p>
            <w:pPr>
              <w:spacing w:after="0"/>
            </w:pPr>
            <w:r>
              <w:rPr>
                <w:rFonts w:ascii="Times New Roman" w:hAnsi="Times New Roman" w:eastAsia="宋体"/>
                <w:b w:val="0"/>
                <w:sz w:val="18"/>
              </w:rPr>
              <w:t>7032.44</w:t>
            </w:r>
          </w:p>
        </w:tc>
        <w:tc>
          <w:tcPr>
            <w:tcW w:type="dxa" w:w="2078"/>
            <w:vAlign w:val="center"/>
          </w:tcPr>
          <w:p>
            <w:pPr>
              <w:spacing w:after="0"/>
            </w:pPr>
            <w:r>
              <w:rPr>
                <w:rFonts w:ascii="Times New Roman" w:hAnsi="Times New Roman" w:eastAsia="宋体"/>
                <w:b w:val="0"/>
                <w:sz w:val="18"/>
              </w:rPr>
              <w:t>9702</w:t>
            </w:r>
          </w:p>
        </w:tc>
        <w:tc>
          <w:tcPr>
            <w:tcW w:type="dxa" w:w="2078"/>
            <w:vAlign w:val="center"/>
          </w:tcPr>
          <w:p>
            <w:pPr>
              <w:spacing w:after="0"/>
            </w:pPr>
            <w:r>
              <w:rPr>
                <w:rFonts w:ascii="Times New Roman" w:hAnsi="Times New Roman" w:eastAsia="宋体"/>
                <w:b w:val="0"/>
                <w:sz w:val="18"/>
              </w:rPr>
              <w:t>0.724844</w:t>
            </w:r>
          </w:p>
        </w:tc>
      </w:tr>
      <w:tr>
        <w:tc>
          <w:tcPr>
            <w:tcW w:type="dxa" w:w="2078"/>
            <w:vAlign w:val="center"/>
          </w:tcPr>
          <w:p>
            <w:pPr>
              <w:spacing w:after="0"/>
            </w:pPr>
            <w:r>
              <w:rPr>
                <w:rFonts w:ascii="Times New Roman" w:hAnsi="Times New Roman" w:eastAsia="宋体"/>
                <w:b w:val="0"/>
                <w:sz w:val="18"/>
              </w:rPr>
              <w:t>10 号线 第 1 班</w:t>
            </w:r>
          </w:p>
        </w:tc>
        <w:tc>
          <w:tcPr>
            <w:tcW w:type="dxa" w:w="2078"/>
            <w:vAlign w:val="center"/>
          </w:tcPr>
          <w:p>
            <w:pPr>
              <w:spacing w:after="0"/>
            </w:pPr>
            <w:r>
              <w:rPr>
                <w:rFonts w:ascii="Times New Roman" w:hAnsi="Times New Roman" w:eastAsia="宋体"/>
                <w:b w:val="0"/>
                <w:sz w:val="18"/>
              </w:rPr>
              <w:t>9690.43</w:t>
            </w:r>
          </w:p>
        </w:tc>
        <w:tc>
          <w:tcPr>
            <w:tcW w:type="dxa" w:w="2078"/>
            <w:vAlign w:val="center"/>
          </w:tcPr>
          <w:p>
            <w:pPr>
              <w:spacing w:after="0"/>
            </w:pPr>
            <w:r>
              <w:rPr>
                <w:rFonts w:ascii="Times New Roman" w:hAnsi="Times New Roman" w:eastAsia="宋体"/>
                <w:b w:val="0"/>
                <w:sz w:val="18"/>
              </w:rPr>
              <w:t>9702</w:t>
            </w:r>
          </w:p>
        </w:tc>
        <w:tc>
          <w:tcPr>
            <w:tcW w:type="dxa" w:w="2078"/>
            <w:vAlign w:val="center"/>
          </w:tcPr>
          <w:p>
            <w:pPr>
              <w:spacing w:after="0"/>
            </w:pPr>
            <w:r>
              <w:rPr>
                <w:rFonts w:ascii="Times New Roman" w:hAnsi="Times New Roman" w:eastAsia="宋体"/>
                <w:b w:val="0"/>
                <w:sz w:val="18"/>
              </w:rPr>
              <w:t>0.998807</w:t>
            </w:r>
          </w:p>
        </w:tc>
      </w:tr>
      <w:tr>
        <w:tc>
          <w:tcPr>
            <w:tcW w:type="dxa" w:w="2078"/>
            <w:vAlign w:val="center"/>
          </w:tcPr>
          <w:p>
            <w:pPr>
              <w:spacing w:after="0"/>
            </w:pPr>
            <w:r>
              <w:rPr>
                <w:rFonts w:ascii="Times New Roman" w:hAnsi="Times New Roman" w:eastAsia="宋体"/>
                <w:b w:val="0"/>
                <w:sz w:val="18"/>
              </w:rPr>
              <w:t>10 号线 第 2 班</w:t>
            </w:r>
          </w:p>
        </w:tc>
        <w:tc>
          <w:tcPr>
            <w:tcW w:type="dxa" w:w="2078"/>
            <w:vAlign w:val="center"/>
          </w:tcPr>
          <w:p>
            <w:pPr>
              <w:spacing w:after="0"/>
            </w:pPr>
            <w:r>
              <w:rPr>
                <w:rFonts w:ascii="Times New Roman" w:hAnsi="Times New Roman" w:eastAsia="宋体"/>
                <w:b w:val="0"/>
                <w:sz w:val="18"/>
              </w:rPr>
              <w:t>9680.51</w:t>
            </w:r>
          </w:p>
        </w:tc>
        <w:tc>
          <w:tcPr>
            <w:tcW w:type="dxa" w:w="2078"/>
            <w:vAlign w:val="center"/>
          </w:tcPr>
          <w:p>
            <w:pPr>
              <w:spacing w:after="0"/>
            </w:pPr>
            <w:r>
              <w:rPr>
                <w:rFonts w:ascii="Times New Roman" w:hAnsi="Times New Roman" w:eastAsia="宋体"/>
                <w:b w:val="0"/>
                <w:sz w:val="18"/>
              </w:rPr>
              <w:t>9702</w:t>
            </w:r>
          </w:p>
        </w:tc>
        <w:tc>
          <w:tcPr>
            <w:tcW w:type="dxa" w:w="2078"/>
            <w:vAlign w:val="center"/>
          </w:tcPr>
          <w:p>
            <w:pPr>
              <w:spacing w:after="0"/>
            </w:pPr>
            <w:r>
              <w:rPr>
                <w:rFonts w:ascii="Times New Roman" w:hAnsi="Times New Roman" w:eastAsia="宋体"/>
                <w:b w:val="0"/>
                <w:sz w:val="18"/>
              </w:rPr>
              <w:t>0.997785</w:t>
            </w:r>
          </w:p>
        </w:tc>
      </w:tr>
      <w:tr>
        <w:tc>
          <w:tcPr>
            <w:tcW w:type="dxa" w:w="2078"/>
            <w:vAlign w:val="center"/>
          </w:tcPr>
          <w:p>
            <w:pPr>
              <w:spacing w:after="0"/>
            </w:pPr>
            <w:r>
              <w:rPr>
                <w:rFonts w:ascii="Times New Roman" w:hAnsi="Times New Roman" w:eastAsia="宋体"/>
                <w:b w:val="0"/>
                <w:sz w:val="18"/>
              </w:rPr>
              <w:t>10 号线 第 3 班</w:t>
            </w:r>
          </w:p>
        </w:tc>
        <w:tc>
          <w:tcPr>
            <w:tcW w:type="dxa" w:w="2078"/>
            <w:vAlign w:val="center"/>
          </w:tcPr>
          <w:p>
            <w:pPr>
              <w:spacing w:after="0"/>
            </w:pPr>
            <w:r>
              <w:rPr>
                <w:rFonts w:ascii="Times New Roman" w:hAnsi="Times New Roman" w:eastAsia="宋体"/>
                <w:b w:val="0"/>
                <w:sz w:val="18"/>
              </w:rPr>
              <w:t>1984.50</w:t>
            </w:r>
          </w:p>
        </w:tc>
        <w:tc>
          <w:tcPr>
            <w:tcW w:type="dxa" w:w="2078"/>
            <w:vAlign w:val="center"/>
          </w:tcPr>
          <w:p>
            <w:pPr>
              <w:spacing w:after="0"/>
            </w:pPr>
            <w:r>
              <w:rPr>
                <w:rFonts w:ascii="Times New Roman" w:hAnsi="Times New Roman" w:eastAsia="宋体"/>
                <w:b w:val="0"/>
                <w:sz w:val="18"/>
              </w:rPr>
              <w:t>9702</w:t>
            </w:r>
          </w:p>
        </w:tc>
        <w:tc>
          <w:tcPr>
            <w:tcW w:type="dxa" w:w="2078"/>
            <w:vAlign w:val="center"/>
          </w:tcPr>
          <w:p>
            <w:pPr>
              <w:spacing w:after="0"/>
            </w:pPr>
            <w:r>
              <w:rPr>
                <w:rFonts w:ascii="Times New Roman" w:hAnsi="Times New Roman" w:eastAsia="宋体"/>
                <w:b w:val="0"/>
                <w:sz w:val="18"/>
              </w:rPr>
              <w:t>0.204546</w:t>
            </w:r>
          </w:p>
        </w:tc>
      </w:tr>
      <w:tr>
        <w:tc>
          <w:tcPr>
            <w:tcW w:type="dxa" w:w="2078"/>
            <w:vAlign w:val="center"/>
          </w:tcPr>
          <w:p>
            <w:pPr>
              <w:spacing w:after="0"/>
            </w:pPr>
            <w:r>
              <w:rPr>
                <w:rFonts w:ascii="Times New Roman" w:hAnsi="Times New Roman" w:eastAsia="宋体"/>
                <w:b w:val="0"/>
                <w:sz w:val="18"/>
              </w:rPr>
              <w:t>18 号线 第 1 班</w:t>
            </w:r>
          </w:p>
        </w:tc>
        <w:tc>
          <w:tcPr>
            <w:tcW w:type="dxa" w:w="2078"/>
            <w:vAlign w:val="center"/>
          </w:tcPr>
          <w:p>
            <w:pPr>
              <w:spacing w:after="0"/>
            </w:pPr>
            <w:r>
              <w:rPr>
                <w:rFonts w:ascii="Times New Roman" w:hAnsi="Times New Roman" w:eastAsia="宋体"/>
                <w:b w:val="0"/>
                <w:sz w:val="18"/>
              </w:rPr>
              <w:t>7032.44</w:t>
            </w:r>
          </w:p>
        </w:tc>
        <w:tc>
          <w:tcPr>
            <w:tcW w:type="dxa" w:w="2078"/>
            <w:vAlign w:val="center"/>
          </w:tcPr>
          <w:p>
            <w:pPr>
              <w:spacing w:after="0"/>
            </w:pPr>
            <w:r>
              <w:rPr>
                <w:rFonts w:ascii="Times New Roman" w:hAnsi="Times New Roman" w:eastAsia="宋体"/>
                <w:b w:val="0"/>
                <w:sz w:val="18"/>
              </w:rPr>
              <w:t>12936</w:t>
            </w:r>
          </w:p>
        </w:tc>
        <w:tc>
          <w:tcPr>
            <w:tcW w:type="dxa" w:w="2078"/>
            <w:vAlign w:val="center"/>
          </w:tcPr>
          <w:p>
            <w:pPr>
              <w:spacing w:after="0"/>
            </w:pPr>
            <w:r>
              <w:rPr>
                <w:rFonts w:ascii="Times New Roman" w:hAnsi="Times New Roman" w:eastAsia="宋体"/>
                <w:b w:val="0"/>
                <w:sz w:val="18"/>
              </w:rPr>
              <w:t>0.543633</w:t>
            </w:r>
          </w:p>
        </w:tc>
      </w:tr>
    </w:tbl>
    <w:p/>
    <w:p>
      <w:pPr>
        <w:spacing w:line="360" w:lineRule="auto" w:after="0"/>
        <w:ind w:firstLine="420"/>
      </w:pPr>
      <w:r>
        <w:rPr>
          <w:rFonts w:ascii="Times New Roman" w:hAnsi="Times New Roman" w:eastAsia="宋体"/>
          <w:b w:val="0"/>
          <w:sz w:val="21"/>
        </w:rPr>
        <w:t>为评价地铁联运布局方案相对于传统配送组织的改进幅度，本章设置全公路直送方案作为基准。结果显示，全公路方案综合成本为 204130.69，碳排放为 0.510199 tCO2/day。最小成本方案的综合成本为 197270.08，低于全公路方案；TOPSIS 折中方案综合成本为 207005.43，较全公路方案增加 1.408286%，但道路相关成本降低 42.573662%，碳排放降低 35.853175%，公路直送量降低 42.388928%。因此，地铁联运布局方案的价值不能仅从综合成本单一维度判断，还应结合道路减负、碳排放削减、中心城区配送组织弹性和企业服务结构调整进行综合评价。</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after="0"/>
            </w:pPr>
            <w:r>
              <w:rPr>
                <w:rFonts w:ascii="Times New Roman" w:hAnsi="Times New Roman" w:eastAsia="宋体"/>
                <w:b/>
                <w:sz w:val="18"/>
              </w:rPr>
              <w:t>方案</w:t>
            </w:r>
          </w:p>
        </w:tc>
        <w:tc>
          <w:tcPr>
            <w:tcW w:type="dxa" w:w="1385"/>
            <w:vAlign w:val="center"/>
          </w:tcPr>
          <w:p>
            <w:pPr>
              <w:spacing w:after="0"/>
            </w:pPr>
            <w:r>
              <w:rPr>
                <w:rFonts w:ascii="Times New Roman" w:hAnsi="Times New Roman" w:eastAsia="宋体"/>
                <w:b/>
                <w:sz w:val="18"/>
              </w:rPr>
              <w:t>综合成本</w:t>
            </w:r>
          </w:p>
        </w:tc>
        <w:tc>
          <w:tcPr>
            <w:tcW w:type="dxa" w:w="1385"/>
            <w:vAlign w:val="center"/>
          </w:tcPr>
          <w:p>
            <w:pPr>
              <w:spacing w:after="0"/>
            </w:pPr>
            <w:r>
              <w:rPr>
                <w:rFonts w:ascii="Times New Roman" w:hAnsi="Times New Roman" w:eastAsia="宋体"/>
                <w:b/>
                <w:sz w:val="18"/>
              </w:rPr>
              <w:t>地铁服务比例</w:t>
            </w:r>
          </w:p>
        </w:tc>
        <w:tc>
          <w:tcPr>
            <w:tcW w:type="dxa" w:w="1385"/>
            <w:vAlign w:val="center"/>
          </w:tcPr>
          <w:p>
            <w:pPr>
              <w:spacing w:after="0"/>
            </w:pPr>
            <w:r>
              <w:rPr>
                <w:rFonts w:ascii="Times New Roman" w:hAnsi="Times New Roman" w:eastAsia="宋体"/>
                <w:b/>
                <w:sz w:val="18"/>
              </w:rPr>
              <w:t>公路直送量</w:t>
            </w:r>
          </w:p>
        </w:tc>
        <w:tc>
          <w:tcPr>
            <w:tcW w:type="dxa" w:w="1385"/>
            <w:vAlign w:val="center"/>
          </w:tcPr>
          <w:p>
            <w:pPr>
              <w:spacing w:after="0"/>
            </w:pPr>
            <w:r>
              <w:rPr>
                <w:rFonts w:ascii="Times New Roman" w:hAnsi="Times New Roman" w:eastAsia="宋体"/>
                <w:b/>
                <w:sz w:val="18"/>
              </w:rPr>
              <w:t>碳排放（tCO2/day）</w:t>
            </w:r>
          </w:p>
        </w:tc>
        <w:tc>
          <w:tcPr>
            <w:tcW w:type="dxa" w:w="1385"/>
            <w:vAlign w:val="center"/>
          </w:tcPr>
          <w:p>
            <w:pPr>
              <w:spacing w:after="0"/>
            </w:pPr>
            <w:r>
              <w:rPr>
                <w:rFonts w:ascii="Times New Roman" w:hAnsi="Times New Roman" w:eastAsia="宋体"/>
                <w:b/>
                <w:sz w:val="18"/>
              </w:rPr>
              <w:t>相对全公路综合成本变化</w:t>
            </w:r>
          </w:p>
        </w:tc>
      </w:tr>
      <w:tr>
        <w:tc>
          <w:tcPr>
            <w:tcW w:type="dxa" w:w="1385"/>
            <w:vAlign w:val="center"/>
          </w:tcPr>
          <w:p>
            <w:pPr>
              <w:spacing w:after="0"/>
            </w:pPr>
            <w:r>
              <w:rPr>
                <w:rFonts w:ascii="Times New Roman" w:hAnsi="Times New Roman" w:eastAsia="宋体"/>
                <w:b w:val="0"/>
                <w:sz w:val="18"/>
              </w:rPr>
              <w:t>全公路直送</w:t>
            </w:r>
          </w:p>
        </w:tc>
        <w:tc>
          <w:tcPr>
            <w:tcW w:type="dxa" w:w="1385"/>
            <w:vAlign w:val="center"/>
          </w:tcPr>
          <w:p>
            <w:pPr>
              <w:spacing w:after="0"/>
            </w:pPr>
            <w:r>
              <w:rPr>
                <w:rFonts w:ascii="Times New Roman" w:hAnsi="Times New Roman" w:eastAsia="宋体"/>
                <w:b w:val="0"/>
                <w:sz w:val="18"/>
              </w:rPr>
              <w:t>204130.69</w:t>
            </w:r>
          </w:p>
        </w:tc>
        <w:tc>
          <w:tcPr>
            <w:tcW w:type="dxa" w:w="1385"/>
            <w:vAlign w:val="center"/>
          </w:tcPr>
          <w:p>
            <w:pPr>
              <w:spacing w:after="0"/>
            </w:pPr>
            <w:r>
              <w:rPr>
                <w:rFonts w:ascii="Times New Roman" w:hAnsi="Times New Roman" w:eastAsia="宋体"/>
                <w:b w:val="0"/>
                <w:sz w:val="18"/>
              </w:rPr>
              <w:t>0</w:t>
            </w:r>
          </w:p>
        </w:tc>
        <w:tc>
          <w:tcPr>
            <w:tcW w:type="dxa" w:w="1385"/>
            <w:vAlign w:val="center"/>
          </w:tcPr>
          <w:p>
            <w:pPr>
              <w:spacing w:after="0"/>
            </w:pPr>
            <w:r>
              <w:rPr>
                <w:rFonts w:ascii="Times New Roman" w:hAnsi="Times New Roman" w:eastAsia="宋体"/>
                <w:b w:val="0"/>
                <w:sz w:val="18"/>
              </w:rPr>
              <w:t>66970.02</w:t>
            </w:r>
          </w:p>
        </w:tc>
        <w:tc>
          <w:tcPr>
            <w:tcW w:type="dxa" w:w="1385"/>
            <w:vAlign w:val="center"/>
          </w:tcPr>
          <w:p>
            <w:pPr>
              <w:spacing w:after="0"/>
            </w:pPr>
            <w:r>
              <w:rPr>
                <w:rFonts w:ascii="Times New Roman" w:hAnsi="Times New Roman" w:eastAsia="宋体"/>
                <w:b w:val="0"/>
                <w:sz w:val="18"/>
              </w:rPr>
              <w:t>0.510199</w:t>
            </w:r>
          </w:p>
        </w:tc>
        <w:tc>
          <w:tcPr>
            <w:tcW w:type="dxa" w:w="1385"/>
            <w:vAlign w:val="center"/>
          </w:tcPr>
          <w:p>
            <w:pPr>
              <w:spacing w:after="0"/>
            </w:pPr>
            <w:r>
              <w:rPr>
                <w:rFonts w:ascii="Times New Roman" w:hAnsi="Times New Roman" w:eastAsia="宋体"/>
                <w:b w:val="0"/>
                <w:sz w:val="18"/>
              </w:rPr>
              <w:t>0</w:t>
            </w:r>
          </w:p>
        </w:tc>
      </w:tr>
      <w:tr>
        <w:tc>
          <w:tcPr>
            <w:tcW w:type="dxa" w:w="1385"/>
            <w:vAlign w:val="center"/>
          </w:tcPr>
          <w:p>
            <w:pPr>
              <w:spacing w:after="0"/>
            </w:pPr>
            <w:r>
              <w:rPr>
                <w:rFonts w:ascii="Times New Roman" w:hAnsi="Times New Roman" w:eastAsia="宋体"/>
                <w:b w:val="0"/>
                <w:sz w:val="18"/>
              </w:rPr>
              <w:t>最小成本方案</w:t>
            </w:r>
          </w:p>
        </w:tc>
        <w:tc>
          <w:tcPr>
            <w:tcW w:type="dxa" w:w="1385"/>
            <w:vAlign w:val="center"/>
          </w:tcPr>
          <w:p>
            <w:pPr>
              <w:spacing w:after="0"/>
            </w:pPr>
            <w:r>
              <w:rPr>
                <w:rFonts w:ascii="Times New Roman" w:hAnsi="Times New Roman" w:eastAsia="宋体"/>
                <w:b w:val="0"/>
                <w:sz w:val="18"/>
              </w:rPr>
              <w:t>197270.08</w:t>
            </w:r>
          </w:p>
        </w:tc>
        <w:tc>
          <w:tcPr>
            <w:tcW w:type="dxa" w:w="1385"/>
            <w:vAlign w:val="center"/>
          </w:tcPr>
          <w:p>
            <w:pPr>
              <w:spacing w:after="0"/>
            </w:pPr>
            <w:r>
              <w:rPr>
                <w:rFonts w:ascii="Times New Roman" w:hAnsi="Times New Roman" w:eastAsia="宋体"/>
                <w:b w:val="0"/>
                <w:sz w:val="18"/>
              </w:rPr>
              <w:t>0.208920</w:t>
            </w:r>
          </w:p>
        </w:tc>
        <w:tc>
          <w:tcPr>
            <w:tcW w:type="dxa" w:w="1385"/>
            <w:vAlign w:val="center"/>
          </w:tcPr>
          <w:p>
            <w:pPr>
              <w:spacing w:after="0"/>
            </w:pPr>
            <w:r>
              <w:rPr>
                <w:rFonts w:ascii="Times New Roman" w:hAnsi="Times New Roman" w:eastAsia="宋体"/>
                <w:b w:val="0"/>
                <w:sz w:val="18"/>
              </w:rPr>
              <w:t>52978.65</w:t>
            </w:r>
          </w:p>
        </w:tc>
        <w:tc>
          <w:tcPr>
            <w:tcW w:type="dxa" w:w="1385"/>
            <w:vAlign w:val="center"/>
          </w:tcPr>
          <w:p>
            <w:pPr>
              <w:spacing w:after="0"/>
            </w:pPr>
            <w:r>
              <w:rPr>
                <w:rFonts w:ascii="Times New Roman" w:hAnsi="Times New Roman" w:eastAsia="宋体"/>
                <w:b w:val="0"/>
                <w:sz w:val="18"/>
              </w:rPr>
              <w:t>待核验</w:t>
            </w:r>
          </w:p>
        </w:tc>
        <w:tc>
          <w:tcPr>
            <w:tcW w:type="dxa" w:w="1385"/>
            <w:vAlign w:val="center"/>
          </w:tcPr>
          <w:p>
            <w:pPr>
              <w:spacing w:after="0"/>
            </w:pPr>
            <w:r>
              <w:rPr>
                <w:rFonts w:ascii="Times New Roman" w:hAnsi="Times New Roman" w:eastAsia="宋体"/>
                <w:b w:val="0"/>
                <w:sz w:val="18"/>
              </w:rPr>
              <w:t>-3.36%</w:t>
            </w:r>
          </w:p>
        </w:tc>
      </w:tr>
      <w:tr>
        <w:tc>
          <w:tcPr>
            <w:tcW w:type="dxa" w:w="1385"/>
            <w:vAlign w:val="center"/>
          </w:tcPr>
          <w:p>
            <w:pPr>
              <w:spacing w:after="0"/>
            </w:pPr>
            <w:r>
              <w:rPr>
                <w:rFonts w:ascii="Times New Roman" w:hAnsi="Times New Roman" w:eastAsia="宋体"/>
                <w:b w:val="0"/>
                <w:sz w:val="18"/>
              </w:rPr>
              <w:t>TOPSIS 折中方案</w:t>
            </w:r>
          </w:p>
        </w:tc>
        <w:tc>
          <w:tcPr>
            <w:tcW w:type="dxa" w:w="1385"/>
            <w:vAlign w:val="center"/>
          </w:tcPr>
          <w:p>
            <w:pPr>
              <w:spacing w:after="0"/>
            </w:pPr>
            <w:r>
              <w:rPr>
                <w:rFonts w:ascii="Times New Roman" w:hAnsi="Times New Roman" w:eastAsia="宋体"/>
                <w:b w:val="0"/>
                <w:sz w:val="18"/>
              </w:rPr>
              <w:t>207005.43</w:t>
            </w:r>
          </w:p>
        </w:tc>
        <w:tc>
          <w:tcPr>
            <w:tcW w:type="dxa" w:w="1385"/>
            <w:vAlign w:val="center"/>
          </w:tcPr>
          <w:p>
            <w:pPr>
              <w:spacing w:after="0"/>
            </w:pPr>
            <w:r>
              <w:rPr>
                <w:rFonts w:ascii="Times New Roman" w:hAnsi="Times New Roman" w:eastAsia="宋体"/>
                <w:b w:val="0"/>
                <w:sz w:val="18"/>
              </w:rPr>
              <w:t>0.423889</w:t>
            </w:r>
          </w:p>
        </w:tc>
        <w:tc>
          <w:tcPr>
            <w:tcW w:type="dxa" w:w="1385"/>
            <w:vAlign w:val="center"/>
          </w:tcPr>
          <w:p>
            <w:pPr>
              <w:spacing w:after="0"/>
            </w:pPr>
            <w:r>
              <w:rPr>
                <w:rFonts w:ascii="Times New Roman" w:hAnsi="Times New Roman" w:eastAsia="宋体"/>
                <w:b w:val="0"/>
                <w:sz w:val="18"/>
              </w:rPr>
              <w:t>38582.15</w:t>
            </w:r>
          </w:p>
        </w:tc>
        <w:tc>
          <w:tcPr>
            <w:tcW w:type="dxa" w:w="1385"/>
            <w:vAlign w:val="center"/>
          </w:tcPr>
          <w:p>
            <w:pPr>
              <w:spacing w:after="0"/>
            </w:pPr>
            <w:r>
              <w:rPr>
                <w:rFonts w:ascii="Times New Roman" w:hAnsi="Times New Roman" w:eastAsia="宋体"/>
                <w:b w:val="0"/>
                <w:sz w:val="18"/>
              </w:rPr>
              <w:t>0.327277</w:t>
            </w:r>
          </w:p>
        </w:tc>
        <w:tc>
          <w:tcPr>
            <w:tcW w:type="dxa" w:w="1385"/>
            <w:vAlign w:val="center"/>
          </w:tcPr>
          <w:p>
            <w:pPr>
              <w:spacing w:after="0"/>
            </w:pPr>
            <w:r>
              <w:rPr>
                <w:rFonts w:ascii="Times New Roman" w:hAnsi="Times New Roman" w:eastAsia="宋体"/>
                <w:b w:val="0"/>
                <w:sz w:val="18"/>
              </w:rPr>
              <w:t>+1.408286%</w:t>
            </w:r>
          </w:p>
        </w:tc>
      </w:tr>
      <w:tr>
        <w:tc>
          <w:tcPr>
            <w:tcW w:type="dxa" w:w="1385"/>
            <w:vAlign w:val="center"/>
          </w:tcPr>
          <w:p>
            <w:pPr>
              <w:spacing w:after="0"/>
            </w:pPr>
            <w:r>
              <w:rPr>
                <w:rFonts w:ascii="Times New Roman" w:hAnsi="Times New Roman" w:eastAsia="宋体"/>
                <w:b w:val="0"/>
                <w:sz w:val="18"/>
              </w:rPr>
              <w:t>最大服务方案</w:t>
            </w:r>
          </w:p>
        </w:tc>
        <w:tc>
          <w:tcPr>
            <w:tcW w:type="dxa" w:w="1385"/>
            <w:vAlign w:val="center"/>
          </w:tcPr>
          <w:p>
            <w:pPr>
              <w:spacing w:after="0"/>
            </w:pPr>
            <w:r>
              <w:rPr>
                <w:rFonts w:ascii="Times New Roman" w:hAnsi="Times New Roman" w:eastAsia="宋体"/>
                <w:b w:val="0"/>
                <w:sz w:val="18"/>
              </w:rPr>
              <w:t>221809.62</w:t>
            </w:r>
          </w:p>
        </w:tc>
        <w:tc>
          <w:tcPr>
            <w:tcW w:type="dxa" w:w="1385"/>
            <w:vAlign w:val="center"/>
          </w:tcPr>
          <w:p>
            <w:pPr>
              <w:spacing w:after="0"/>
            </w:pPr>
            <w:r>
              <w:rPr>
                <w:rFonts w:ascii="Times New Roman" w:hAnsi="Times New Roman" w:eastAsia="宋体"/>
                <w:b w:val="0"/>
                <w:sz w:val="18"/>
              </w:rPr>
              <w:t>0.566651</w:t>
            </w:r>
          </w:p>
        </w:tc>
        <w:tc>
          <w:tcPr>
            <w:tcW w:type="dxa" w:w="1385"/>
            <w:vAlign w:val="center"/>
          </w:tcPr>
          <w:p>
            <w:pPr>
              <w:spacing w:after="0"/>
            </w:pPr>
            <w:r>
              <w:rPr>
                <w:rFonts w:ascii="Times New Roman" w:hAnsi="Times New Roman" w:eastAsia="宋体"/>
                <w:b w:val="0"/>
                <w:sz w:val="18"/>
              </w:rPr>
              <w:t>待核验</w:t>
            </w:r>
          </w:p>
        </w:tc>
        <w:tc>
          <w:tcPr>
            <w:tcW w:type="dxa" w:w="1385"/>
            <w:vAlign w:val="center"/>
          </w:tcPr>
          <w:p>
            <w:pPr>
              <w:spacing w:after="0"/>
            </w:pPr>
            <w:r>
              <w:rPr>
                <w:rFonts w:ascii="Times New Roman" w:hAnsi="Times New Roman" w:eastAsia="宋体"/>
                <w:b w:val="0"/>
                <w:sz w:val="18"/>
              </w:rPr>
              <w:t>待核验</w:t>
            </w:r>
          </w:p>
        </w:tc>
        <w:tc>
          <w:tcPr>
            <w:tcW w:type="dxa" w:w="1385"/>
            <w:vAlign w:val="center"/>
          </w:tcPr>
          <w:p>
            <w:pPr>
              <w:spacing w:after="0"/>
            </w:pPr>
            <w:r>
              <w:rPr>
                <w:rFonts w:ascii="Times New Roman" w:hAnsi="Times New Roman" w:eastAsia="宋体"/>
                <w:b w:val="0"/>
                <w:sz w:val="18"/>
              </w:rPr>
              <w:t>+8.660594%</w:t>
            </w:r>
          </w:p>
        </w:tc>
      </w:tr>
    </w:tbl>
    <w:p/>
    <w:p>
      <w:pPr>
        <w:spacing w:line="360" w:lineRule="auto" w:after="0"/>
        <w:ind w:firstLine="420"/>
      </w:pPr>
      <w:r>
        <w:rPr>
          <w:rFonts w:ascii="Times New Roman" w:hAnsi="Times New Roman" w:eastAsia="宋体"/>
          <w:b w:val="0"/>
          <w:sz w:val="21"/>
        </w:rPr>
        <w:t>上述结果说明，在基准情景下，地铁联运并不必然使综合成本最低。当地铁服务比例提高时，固定启用成本、站内作业成本和短驳接驳成本可能抵消部分道路运输成本节约。对于政府侧或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pPr>
        <w:pStyle w:val="Heading3"/>
      </w:pPr>
      <w:r>
        <w:t>5.3.4 QVNS-NSGA-II 与典型多目标优化算法的性能对比</w:t>
      </w:r>
    </w:p>
    <w:p>
      <w:pPr>
        <w:spacing w:line="360" w:lineRule="auto" w:after="0"/>
        <w:ind w:firstLine="420"/>
      </w:pPr>
      <w:r>
        <w:rPr>
          <w:rFonts w:ascii="Times New Roman" w:hAnsi="Times New Roman" w:eastAsia="宋体"/>
          <w:b w:val="0"/>
          <w:sz w:val="21"/>
        </w:rPr>
        <w:t>为检验 QVNS-NSGA-II 的求解有效性，本章将其与 NSGA-II、MOPSO 和 SPEA2 等典型多目标优化算法进行对比。对比指标包括 Hypervolume、IGD、Spacing、Spread、唯一解数量和运行时间。HV 越大说明 Pareto 解集在目标空间中的覆盖范围和综合质量越好，IGD 越小表示解集越接近参考前沿，Spacing 和 Spread 用于衡量解集分布均匀性和多样性。</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spacing w:after="0"/>
            </w:pPr>
            <w:r>
              <w:rPr>
                <w:rFonts w:ascii="Times New Roman" w:hAnsi="Times New Roman" w:eastAsia="宋体"/>
                <w:b/>
                <w:sz w:val="18"/>
              </w:rPr>
              <w:t>算法</w:t>
            </w:r>
          </w:p>
        </w:tc>
        <w:tc>
          <w:tcPr>
            <w:tcW w:type="dxa" w:w="1187"/>
            <w:vAlign w:val="center"/>
          </w:tcPr>
          <w:p>
            <w:pPr>
              <w:spacing w:after="0"/>
            </w:pPr>
            <w:r>
              <w:rPr>
                <w:rFonts w:ascii="Times New Roman" w:hAnsi="Times New Roman" w:eastAsia="宋体"/>
                <w:b/>
                <w:sz w:val="18"/>
              </w:rPr>
              <w:t>HV</w:t>
            </w:r>
          </w:p>
        </w:tc>
        <w:tc>
          <w:tcPr>
            <w:tcW w:type="dxa" w:w="1187"/>
            <w:vAlign w:val="center"/>
          </w:tcPr>
          <w:p>
            <w:pPr>
              <w:spacing w:after="0"/>
            </w:pPr>
            <w:r>
              <w:rPr>
                <w:rFonts w:ascii="Times New Roman" w:hAnsi="Times New Roman" w:eastAsia="宋体"/>
                <w:b/>
                <w:sz w:val="18"/>
              </w:rPr>
              <w:t>IGD</w:t>
            </w:r>
          </w:p>
        </w:tc>
        <w:tc>
          <w:tcPr>
            <w:tcW w:type="dxa" w:w="1187"/>
            <w:vAlign w:val="center"/>
          </w:tcPr>
          <w:p>
            <w:pPr>
              <w:spacing w:after="0"/>
            </w:pPr>
            <w:r>
              <w:rPr>
                <w:rFonts w:ascii="Times New Roman" w:hAnsi="Times New Roman" w:eastAsia="宋体"/>
                <w:b/>
                <w:sz w:val="18"/>
              </w:rPr>
              <w:t>Spacing</w:t>
            </w:r>
          </w:p>
        </w:tc>
        <w:tc>
          <w:tcPr>
            <w:tcW w:type="dxa" w:w="1187"/>
            <w:vAlign w:val="center"/>
          </w:tcPr>
          <w:p>
            <w:pPr>
              <w:spacing w:after="0"/>
            </w:pPr>
            <w:r>
              <w:rPr>
                <w:rFonts w:ascii="Times New Roman" w:hAnsi="Times New Roman" w:eastAsia="宋体"/>
                <w:b/>
                <w:sz w:val="18"/>
              </w:rPr>
              <w:t>Spread</w:t>
            </w:r>
          </w:p>
        </w:tc>
        <w:tc>
          <w:tcPr>
            <w:tcW w:type="dxa" w:w="1187"/>
            <w:vAlign w:val="center"/>
          </w:tcPr>
          <w:p>
            <w:pPr>
              <w:spacing w:after="0"/>
            </w:pPr>
            <w:r>
              <w:rPr>
                <w:rFonts w:ascii="Times New Roman" w:hAnsi="Times New Roman" w:eastAsia="宋体"/>
                <w:b/>
                <w:sz w:val="18"/>
              </w:rPr>
              <w:t>唯一解均值</w:t>
            </w:r>
          </w:p>
        </w:tc>
        <w:tc>
          <w:tcPr>
            <w:tcW w:type="dxa" w:w="1187"/>
            <w:vAlign w:val="center"/>
          </w:tcPr>
          <w:p>
            <w:pPr>
              <w:spacing w:after="0"/>
            </w:pPr>
            <w:r>
              <w:rPr>
                <w:rFonts w:ascii="Times New Roman" w:hAnsi="Times New Roman" w:eastAsia="宋体"/>
                <w:b/>
                <w:sz w:val="18"/>
              </w:rPr>
              <w:t>运行时间（s）</w:t>
            </w:r>
          </w:p>
        </w:tc>
      </w:tr>
      <w:tr>
        <w:tc>
          <w:tcPr>
            <w:tcW w:type="dxa" w:w="1187"/>
            <w:vAlign w:val="center"/>
          </w:tcPr>
          <w:p>
            <w:pPr>
              <w:spacing w:after="0"/>
            </w:pPr>
            <w:r>
              <w:rPr>
                <w:rFonts w:ascii="Times New Roman" w:hAnsi="Times New Roman" w:eastAsia="宋体"/>
                <w:b w:val="0"/>
                <w:sz w:val="18"/>
              </w:rPr>
              <w:t>QVNS-NSGA-II</w:t>
            </w:r>
          </w:p>
        </w:tc>
        <w:tc>
          <w:tcPr>
            <w:tcW w:type="dxa" w:w="1187"/>
            <w:vAlign w:val="center"/>
          </w:tcPr>
          <w:p>
            <w:pPr>
              <w:spacing w:after="0"/>
            </w:pPr>
            <w:r>
              <w:rPr>
                <w:rFonts w:ascii="Times New Roman" w:hAnsi="Times New Roman" w:eastAsia="宋体"/>
                <w:b w:val="0"/>
                <w:sz w:val="18"/>
              </w:rPr>
              <w:t>0.823823</w:t>
            </w:r>
          </w:p>
        </w:tc>
        <w:tc>
          <w:tcPr>
            <w:tcW w:type="dxa" w:w="1187"/>
            <w:vAlign w:val="center"/>
          </w:tcPr>
          <w:p>
            <w:pPr>
              <w:spacing w:after="0"/>
            </w:pPr>
            <w:r>
              <w:rPr>
                <w:rFonts w:ascii="Times New Roman" w:hAnsi="Times New Roman" w:eastAsia="宋体"/>
                <w:b w:val="0"/>
                <w:sz w:val="18"/>
              </w:rPr>
              <w:t>0.144609</w:t>
            </w:r>
          </w:p>
        </w:tc>
        <w:tc>
          <w:tcPr>
            <w:tcW w:type="dxa" w:w="1187"/>
            <w:vAlign w:val="center"/>
          </w:tcPr>
          <w:p>
            <w:pPr>
              <w:spacing w:after="0"/>
            </w:pPr>
            <w:r>
              <w:rPr>
                <w:rFonts w:ascii="Times New Roman" w:hAnsi="Times New Roman" w:eastAsia="宋体"/>
                <w:b w:val="0"/>
                <w:sz w:val="18"/>
              </w:rPr>
              <w:t>0.000434</w:t>
            </w:r>
          </w:p>
        </w:tc>
        <w:tc>
          <w:tcPr>
            <w:tcW w:type="dxa" w:w="1187"/>
            <w:vAlign w:val="center"/>
          </w:tcPr>
          <w:p>
            <w:pPr>
              <w:spacing w:after="0"/>
            </w:pPr>
            <w:r>
              <w:rPr>
                <w:rFonts w:ascii="Times New Roman" w:hAnsi="Times New Roman" w:eastAsia="宋体"/>
                <w:b w:val="0"/>
                <w:sz w:val="18"/>
              </w:rPr>
              <w:t>1.476663</w:t>
            </w:r>
          </w:p>
        </w:tc>
        <w:tc>
          <w:tcPr>
            <w:tcW w:type="dxa" w:w="1187"/>
            <w:vAlign w:val="center"/>
          </w:tcPr>
          <w:p>
            <w:pPr>
              <w:spacing w:after="0"/>
            </w:pPr>
            <w:r>
              <w:rPr>
                <w:rFonts w:ascii="Times New Roman" w:hAnsi="Times New Roman" w:eastAsia="宋体"/>
                <w:b w:val="0"/>
                <w:sz w:val="18"/>
              </w:rPr>
              <w:t>14.3</w:t>
            </w:r>
          </w:p>
        </w:tc>
        <w:tc>
          <w:tcPr>
            <w:tcW w:type="dxa" w:w="1187"/>
            <w:vAlign w:val="center"/>
          </w:tcPr>
          <w:p>
            <w:pPr>
              <w:spacing w:after="0"/>
            </w:pPr>
            <w:r>
              <w:rPr>
                <w:rFonts w:ascii="Times New Roman" w:hAnsi="Times New Roman" w:eastAsia="宋体"/>
                <w:b w:val="0"/>
                <w:sz w:val="18"/>
              </w:rPr>
              <w:t>77.52</w:t>
            </w:r>
          </w:p>
        </w:tc>
      </w:tr>
      <w:tr>
        <w:tc>
          <w:tcPr>
            <w:tcW w:type="dxa" w:w="1187"/>
            <w:vAlign w:val="center"/>
          </w:tcPr>
          <w:p>
            <w:pPr>
              <w:spacing w:after="0"/>
            </w:pPr>
            <w:r>
              <w:rPr>
                <w:rFonts w:ascii="Times New Roman" w:hAnsi="Times New Roman" w:eastAsia="宋体"/>
                <w:b w:val="0"/>
                <w:sz w:val="18"/>
              </w:rPr>
              <w:t>NSGA-II</w:t>
            </w:r>
          </w:p>
        </w:tc>
        <w:tc>
          <w:tcPr>
            <w:tcW w:type="dxa" w:w="1187"/>
            <w:vAlign w:val="center"/>
          </w:tcPr>
          <w:p>
            <w:pPr>
              <w:spacing w:after="0"/>
            </w:pPr>
            <w:r>
              <w:rPr>
                <w:rFonts w:ascii="Times New Roman" w:hAnsi="Times New Roman" w:eastAsia="宋体"/>
                <w:b w:val="0"/>
                <w:sz w:val="18"/>
              </w:rPr>
              <w:t>0.758865</w:t>
            </w:r>
          </w:p>
        </w:tc>
        <w:tc>
          <w:tcPr>
            <w:tcW w:type="dxa" w:w="1187"/>
            <w:vAlign w:val="center"/>
          </w:tcPr>
          <w:p>
            <w:pPr>
              <w:spacing w:after="0"/>
            </w:pPr>
            <w:r>
              <w:rPr>
                <w:rFonts w:ascii="Times New Roman" w:hAnsi="Times New Roman" w:eastAsia="宋体"/>
                <w:b w:val="0"/>
                <w:sz w:val="18"/>
              </w:rPr>
              <w:t>0.176456</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57.88</w:t>
            </w:r>
          </w:p>
        </w:tc>
      </w:tr>
      <w:tr>
        <w:tc>
          <w:tcPr>
            <w:tcW w:type="dxa" w:w="1187"/>
            <w:vAlign w:val="center"/>
          </w:tcPr>
          <w:p>
            <w:pPr>
              <w:spacing w:after="0"/>
            </w:pPr>
            <w:r>
              <w:rPr>
                <w:rFonts w:ascii="Times New Roman" w:hAnsi="Times New Roman" w:eastAsia="宋体"/>
                <w:b w:val="0"/>
                <w:sz w:val="18"/>
              </w:rPr>
              <w:t>MOPSO</w:t>
            </w:r>
          </w:p>
        </w:tc>
        <w:tc>
          <w:tcPr>
            <w:tcW w:type="dxa" w:w="1187"/>
            <w:vAlign w:val="center"/>
          </w:tcPr>
          <w:p>
            <w:pPr>
              <w:spacing w:after="0"/>
            </w:pPr>
            <w:r>
              <w:rPr>
                <w:rFonts w:ascii="Times New Roman" w:hAnsi="Times New Roman" w:eastAsia="宋体"/>
                <w:b w:val="0"/>
                <w:sz w:val="18"/>
              </w:rPr>
              <w:t>0.564872</w:t>
            </w:r>
          </w:p>
        </w:tc>
        <w:tc>
          <w:tcPr>
            <w:tcW w:type="dxa" w:w="1187"/>
            <w:vAlign w:val="center"/>
          </w:tcPr>
          <w:p>
            <w:pPr>
              <w:spacing w:after="0"/>
            </w:pPr>
            <w:r>
              <w:rPr>
                <w:rFonts w:ascii="Times New Roman" w:hAnsi="Times New Roman" w:eastAsia="宋体"/>
                <w:b w:val="0"/>
                <w:sz w:val="18"/>
              </w:rPr>
              <w:t>0.314837</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138.38</w:t>
            </w:r>
          </w:p>
        </w:tc>
      </w:tr>
      <w:tr>
        <w:tc>
          <w:tcPr>
            <w:tcW w:type="dxa" w:w="1187"/>
            <w:vAlign w:val="center"/>
          </w:tcPr>
          <w:p>
            <w:pPr>
              <w:spacing w:after="0"/>
            </w:pPr>
            <w:r>
              <w:rPr>
                <w:rFonts w:ascii="Times New Roman" w:hAnsi="Times New Roman" w:eastAsia="宋体"/>
                <w:b w:val="0"/>
                <w:sz w:val="18"/>
              </w:rPr>
              <w:t>SPEA2</w:t>
            </w:r>
          </w:p>
        </w:tc>
        <w:tc>
          <w:tcPr>
            <w:tcW w:type="dxa" w:w="1187"/>
            <w:vAlign w:val="center"/>
          </w:tcPr>
          <w:p>
            <w:pPr>
              <w:spacing w:after="0"/>
            </w:pPr>
            <w:r>
              <w:rPr>
                <w:rFonts w:ascii="Times New Roman" w:hAnsi="Times New Roman" w:eastAsia="宋体"/>
                <w:b w:val="0"/>
                <w:sz w:val="18"/>
              </w:rPr>
              <w:t>0.647514</w:t>
            </w:r>
          </w:p>
        </w:tc>
        <w:tc>
          <w:tcPr>
            <w:tcW w:type="dxa" w:w="1187"/>
            <w:vAlign w:val="center"/>
          </w:tcPr>
          <w:p>
            <w:pPr>
              <w:spacing w:after="0"/>
            </w:pPr>
            <w:r>
              <w:rPr>
                <w:rFonts w:ascii="Times New Roman" w:hAnsi="Times New Roman" w:eastAsia="宋体"/>
                <w:b w:val="0"/>
                <w:sz w:val="18"/>
              </w:rPr>
              <w:t>0.254476</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待补充</w:t>
            </w:r>
          </w:p>
        </w:tc>
        <w:tc>
          <w:tcPr>
            <w:tcW w:type="dxa" w:w="1187"/>
            <w:vAlign w:val="center"/>
          </w:tcPr>
          <w:p>
            <w:pPr>
              <w:spacing w:after="0"/>
            </w:pPr>
            <w:r>
              <w:rPr>
                <w:rFonts w:ascii="Times New Roman" w:hAnsi="Times New Roman" w:eastAsia="宋体"/>
                <w:b w:val="0"/>
                <w:sz w:val="18"/>
              </w:rPr>
              <w:t>218.12</w:t>
            </w:r>
          </w:p>
        </w:tc>
      </w:tr>
    </w:tbl>
    <w:p/>
    <w:p>
      <w:pPr>
        <w:spacing w:line="360" w:lineRule="auto" w:after="0"/>
        <w:ind w:firstLine="420"/>
      </w:pPr>
      <w:r>
        <w:rPr>
          <w:rFonts w:ascii="Times New Roman" w:hAnsi="Times New Roman" w:eastAsia="宋体"/>
          <w:b w:val="0"/>
          <w:sz w:val="21"/>
        </w:rPr>
        <w:t>结果表明，QVNS-NSGA-II 在 HV 和 IGD 指标上优于 NSGA-II、MOPSO 和 SPEA2，说明其在解集收敛性和目标空间覆盖方面具有一定优势。运行时间方面，QVNS-NSGA-II 高于标准 NSGA-II，但低于 MOPSO 和 SPEA2。该结果符合算法结构预期：Q-learning 与变邻域搜索增加了局部改进和档案反馈计算开销，但能够提高解集质量，适用于具有离散启用决策、容量约束和多目标权衡特征的地铁物流配送转运点布局优化问题。</w:t>
      </w:r>
    </w:p>
    <w:p>
      <w:pPr>
        <w:spacing w:line="360" w:lineRule="auto" w:after="0"/>
        <w:ind w:firstLine="420"/>
      </w:pPr>
      <w:r>
        <w:rPr>
          <w:rFonts w:ascii="Times New Roman" w:hAnsi="Times New Roman" w:eastAsia="宋体"/>
          <w:b w:val="0"/>
          <w:sz w:val="21"/>
        </w:rPr>
        <w:t>为进一步说明算法机制作用，本章可设置消融实验，对比 QVNS-Q11C、VNS-only、Q-learning-only 和标准 NSGA-II 等算法变体。现有结果显示，QVNS-Q11C 的 HV 为 0.786176，IGD 为 0.145905；VNS-only 的 HV 为 0.784089，IGD 为 0.143263；Q-learning-only 的 HV 为 0.755454，IGD 为 0.164613；标准 NSGA-II 的 HV 为 0.737583，IGD 为 0.172675。需要谨慎表述的是，QVNS-Q11C 与 VNS-only 在部分指标上较为接近，不能简单断言组合机制在所有指标上绝对最优。更稳妥的结论是：相较于标准 NSGA-II 和单独 Q-learning 机制，融合变邻域搜索、Q-learning 动作选择与档案保护机制的算法在解集质量、搜索稳定性和机制可解释性方面表现更均衡。</w:t>
      </w:r>
    </w:p>
    <w:p>
      <w:pPr>
        <w:pStyle w:val="Heading2"/>
      </w:pPr>
      <w:r>
        <w:t>5.4 敏感性分析</w:t>
      </w:r>
    </w:p>
    <w:p>
      <w:pPr>
        <w:spacing w:line="360" w:lineRule="auto" w:after="0"/>
        <w:ind w:firstLine="420"/>
      </w:pPr>
      <w:r>
        <w:rPr>
          <w:rFonts w:ascii="Times New Roman" w:hAnsi="Times New Roman"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w:t>
      </w:r>
    </w:p>
    <w:p>
      <w:pPr>
        <w:pStyle w:val="Heading3"/>
      </w:pPr>
      <w:r>
        <w:t>5.4.1 需求规模变化下的布局结果分析</w:t>
      </w:r>
    </w:p>
    <w:p>
      <w:pPr>
        <w:spacing w:line="360" w:lineRule="auto" w:after="0"/>
        <w:ind w:firstLine="420"/>
      </w:pPr>
      <w:r>
        <w:rPr>
          <w:rFonts w:ascii="Times New Roman" w:hAnsi="Times New Roman" w:eastAsia="宋体"/>
          <w:b w:val="0"/>
          <w:sz w:val="21"/>
        </w:rPr>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0.311871；基准情景下启用火车南站、高升桥、省体育馆和太平园四个站点，地铁服务比例为 0.423889；高需求情景下仍启用火车南站、高升桥、省体育馆和太平园四个站点，地铁服务比例为 0.383797。</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after="0"/>
            </w:pPr>
            <w:r>
              <w:rPr>
                <w:rFonts w:ascii="Times New Roman" w:hAnsi="Times New Roman" w:eastAsia="宋体"/>
                <w:b/>
                <w:sz w:val="18"/>
              </w:rPr>
              <w:t>需求情景</w:t>
            </w:r>
          </w:p>
        </w:tc>
        <w:tc>
          <w:tcPr>
            <w:tcW w:type="dxa" w:w="1385"/>
            <w:vAlign w:val="center"/>
          </w:tcPr>
          <w:p>
            <w:pPr>
              <w:spacing w:after="0"/>
            </w:pPr>
            <w:r>
              <w:rPr>
                <w:rFonts w:ascii="Times New Roman" w:hAnsi="Times New Roman" w:eastAsia="宋体"/>
                <w:b/>
                <w:sz w:val="18"/>
              </w:rPr>
              <w:t>代表种子</w:t>
            </w:r>
          </w:p>
        </w:tc>
        <w:tc>
          <w:tcPr>
            <w:tcW w:type="dxa" w:w="1385"/>
            <w:vAlign w:val="center"/>
          </w:tcPr>
          <w:p>
            <w:pPr>
              <w:spacing w:after="0"/>
            </w:pPr>
            <w:r>
              <w:rPr>
                <w:rFonts w:ascii="Times New Roman" w:hAnsi="Times New Roman" w:eastAsia="宋体"/>
                <w:b/>
                <w:sz w:val="18"/>
              </w:rPr>
              <w:t>HV</w:t>
            </w:r>
          </w:p>
        </w:tc>
        <w:tc>
          <w:tcPr>
            <w:tcW w:type="dxa" w:w="1385"/>
            <w:vAlign w:val="center"/>
          </w:tcPr>
          <w:p>
            <w:pPr>
              <w:spacing w:after="0"/>
            </w:pPr>
            <w:r>
              <w:rPr>
                <w:rFonts w:ascii="Times New Roman" w:hAnsi="Times New Roman" w:eastAsia="宋体"/>
                <w:b/>
                <w:sz w:val="18"/>
              </w:rPr>
              <w:t>地铁服务比例</w:t>
            </w:r>
          </w:p>
        </w:tc>
        <w:tc>
          <w:tcPr>
            <w:tcW w:type="dxa" w:w="1385"/>
            <w:vAlign w:val="center"/>
          </w:tcPr>
          <w:p>
            <w:pPr>
              <w:spacing w:after="0"/>
            </w:pPr>
            <w:r>
              <w:rPr>
                <w:rFonts w:ascii="Times New Roman" w:hAnsi="Times New Roman" w:eastAsia="宋体"/>
                <w:b/>
                <w:sz w:val="18"/>
              </w:rPr>
              <w:t>启用数</w:t>
            </w:r>
          </w:p>
        </w:tc>
        <w:tc>
          <w:tcPr>
            <w:tcW w:type="dxa" w:w="1385"/>
            <w:vAlign w:val="center"/>
          </w:tcPr>
          <w:p>
            <w:pPr>
              <w:spacing w:after="0"/>
            </w:pPr>
            <w:r>
              <w:rPr>
                <w:rFonts w:ascii="Times New Roman" w:hAnsi="Times New Roman" w:eastAsia="宋体"/>
                <w:b/>
                <w:sz w:val="18"/>
              </w:rPr>
              <w:t>启用站点</w:t>
            </w:r>
          </w:p>
        </w:tc>
      </w:tr>
      <w:tr>
        <w:tc>
          <w:tcPr>
            <w:tcW w:type="dxa" w:w="1385"/>
            <w:vAlign w:val="center"/>
          </w:tcPr>
          <w:p>
            <w:pPr>
              <w:spacing w:after="0"/>
            </w:pPr>
            <w:r>
              <w:rPr>
                <w:rFonts w:ascii="Times New Roman" w:hAnsi="Times New Roman" w:eastAsia="宋体"/>
                <w:b w:val="0"/>
                <w:sz w:val="18"/>
              </w:rPr>
              <w:t>低需求</w:t>
            </w:r>
          </w:p>
        </w:tc>
        <w:tc>
          <w:tcPr>
            <w:tcW w:type="dxa" w:w="1385"/>
            <w:vAlign w:val="center"/>
          </w:tcPr>
          <w:p>
            <w:pPr>
              <w:spacing w:after="0"/>
            </w:pPr>
            <w:r>
              <w:rPr>
                <w:rFonts w:ascii="Times New Roman" w:hAnsi="Times New Roman" w:eastAsia="宋体"/>
                <w:b w:val="0"/>
                <w:sz w:val="18"/>
              </w:rPr>
              <w:t>20261517</w:t>
            </w:r>
          </w:p>
        </w:tc>
        <w:tc>
          <w:tcPr>
            <w:tcW w:type="dxa" w:w="1385"/>
            <w:vAlign w:val="center"/>
          </w:tcPr>
          <w:p>
            <w:pPr>
              <w:spacing w:after="0"/>
            </w:pPr>
            <w:r>
              <w:rPr>
                <w:rFonts w:ascii="Times New Roman" w:hAnsi="Times New Roman" w:eastAsia="宋体"/>
                <w:b w:val="0"/>
                <w:sz w:val="18"/>
              </w:rPr>
              <w:t>0.958509</w:t>
            </w:r>
          </w:p>
        </w:tc>
        <w:tc>
          <w:tcPr>
            <w:tcW w:type="dxa" w:w="1385"/>
            <w:vAlign w:val="center"/>
          </w:tcPr>
          <w:p>
            <w:pPr>
              <w:spacing w:after="0"/>
            </w:pPr>
            <w:r>
              <w:rPr>
                <w:rFonts w:ascii="Times New Roman" w:hAnsi="Times New Roman" w:eastAsia="宋体"/>
                <w:b w:val="0"/>
                <w:sz w:val="18"/>
              </w:rPr>
              <w:t>0.311871</w:t>
            </w:r>
          </w:p>
        </w:tc>
        <w:tc>
          <w:tcPr>
            <w:tcW w:type="dxa" w:w="1385"/>
            <w:vAlign w:val="center"/>
          </w:tcPr>
          <w:p>
            <w:pPr>
              <w:spacing w:after="0"/>
            </w:pPr>
            <w:r>
              <w:rPr>
                <w:rFonts w:ascii="Times New Roman" w:hAnsi="Times New Roman" w:eastAsia="宋体"/>
                <w:b w:val="0"/>
                <w:sz w:val="18"/>
              </w:rPr>
              <w:t>3</w:t>
            </w:r>
          </w:p>
        </w:tc>
        <w:tc>
          <w:tcPr>
            <w:tcW w:type="dxa" w:w="1385"/>
            <w:vAlign w:val="center"/>
          </w:tcPr>
          <w:p>
            <w:pPr>
              <w:spacing w:after="0"/>
            </w:pPr>
            <w:r>
              <w:rPr>
                <w:rFonts w:ascii="Times New Roman" w:hAnsi="Times New Roman" w:eastAsia="宋体"/>
                <w:b w:val="0"/>
                <w:sz w:val="18"/>
              </w:rPr>
              <w:t>省体育馆；太平园；桐梓林</w:t>
            </w:r>
          </w:p>
        </w:tc>
      </w:tr>
      <w:tr>
        <w:tc>
          <w:tcPr>
            <w:tcW w:type="dxa" w:w="1385"/>
            <w:vAlign w:val="center"/>
          </w:tcPr>
          <w:p>
            <w:pPr>
              <w:spacing w:after="0"/>
            </w:pPr>
            <w:r>
              <w:rPr>
                <w:rFonts w:ascii="Times New Roman" w:hAnsi="Times New Roman" w:eastAsia="宋体"/>
                <w:b w:val="0"/>
                <w:sz w:val="18"/>
              </w:rPr>
              <w:t>基准需求</w:t>
            </w:r>
          </w:p>
        </w:tc>
        <w:tc>
          <w:tcPr>
            <w:tcW w:type="dxa" w:w="1385"/>
            <w:vAlign w:val="center"/>
          </w:tcPr>
          <w:p>
            <w:pPr>
              <w:spacing w:after="0"/>
            </w:pPr>
            <w:r>
              <w:rPr>
                <w:rFonts w:ascii="Times New Roman" w:hAnsi="Times New Roman" w:eastAsia="宋体"/>
                <w:b w:val="0"/>
                <w:sz w:val="18"/>
              </w:rPr>
              <w:t>20261621</w:t>
            </w:r>
          </w:p>
        </w:tc>
        <w:tc>
          <w:tcPr>
            <w:tcW w:type="dxa" w:w="1385"/>
            <w:vAlign w:val="center"/>
          </w:tcPr>
          <w:p>
            <w:pPr>
              <w:spacing w:after="0"/>
            </w:pPr>
            <w:r>
              <w:rPr>
                <w:rFonts w:ascii="Times New Roman" w:hAnsi="Times New Roman" w:eastAsia="宋体"/>
                <w:b w:val="0"/>
                <w:sz w:val="18"/>
              </w:rPr>
              <w:t>0.946237</w:t>
            </w:r>
          </w:p>
        </w:tc>
        <w:tc>
          <w:tcPr>
            <w:tcW w:type="dxa" w:w="1385"/>
            <w:vAlign w:val="center"/>
          </w:tcPr>
          <w:p>
            <w:pPr>
              <w:spacing w:after="0"/>
            </w:pPr>
            <w:r>
              <w:rPr>
                <w:rFonts w:ascii="Times New Roman" w:hAnsi="Times New Roman" w:eastAsia="宋体"/>
                <w:b w:val="0"/>
                <w:sz w:val="18"/>
              </w:rPr>
              <w:t>0.423889</w:t>
            </w:r>
          </w:p>
        </w:tc>
        <w:tc>
          <w:tcPr>
            <w:tcW w:type="dxa" w:w="1385"/>
            <w:vAlign w:val="center"/>
          </w:tcPr>
          <w:p>
            <w:pPr>
              <w:spacing w:after="0"/>
            </w:pPr>
            <w:r>
              <w:rPr>
                <w:rFonts w:ascii="Times New Roman" w:hAnsi="Times New Roman" w:eastAsia="宋体"/>
                <w:b w:val="0"/>
                <w:sz w:val="18"/>
              </w:rPr>
              <w:t>4</w:t>
            </w:r>
          </w:p>
        </w:tc>
        <w:tc>
          <w:tcPr>
            <w:tcW w:type="dxa" w:w="1385"/>
            <w:vAlign w:val="center"/>
          </w:tcPr>
          <w:p>
            <w:pPr>
              <w:spacing w:after="0"/>
            </w:pPr>
            <w:r>
              <w:rPr>
                <w:rFonts w:ascii="Times New Roman" w:hAnsi="Times New Roman" w:eastAsia="宋体"/>
                <w:b w:val="0"/>
                <w:sz w:val="18"/>
              </w:rPr>
              <w:t>火车南站；高升桥；省体育馆；太平园</w:t>
            </w:r>
          </w:p>
        </w:tc>
      </w:tr>
      <w:tr>
        <w:tc>
          <w:tcPr>
            <w:tcW w:type="dxa" w:w="1385"/>
            <w:vAlign w:val="center"/>
          </w:tcPr>
          <w:p>
            <w:pPr>
              <w:spacing w:after="0"/>
            </w:pPr>
            <w:r>
              <w:rPr>
                <w:rFonts w:ascii="Times New Roman" w:hAnsi="Times New Roman" w:eastAsia="宋体"/>
                <w:b w:val="0"/>
                <w:sz w:val="18"/>
              </w:rPr>
              <w:t>高需求</w:t>
            </w:r>
          </w:p>
        </w:tc>
        <w:tc>
          <w:tcPr>
            <w:tcW w:type="dxa" w:w="1385"/>
            <w:vAlign w:val="center"/>
          </w:tcPr>
          <w:p>
            <w:pPr>
              <w:spacing w:after="0"/>
            </w:pPr>
            <w:r>
              <w:rPr>
                <w:rFonts w:ascii="Times New Roman" w:hAnsi="Times New Roman" w:eastAsia="宋体"/>
                <w:b w:val="0"/>
                <w:sz w:val="18"/>
              </w:rPr>
              <w:t>20261714</w:t>
            </w:r>
          </w:p>
        </w:tc>
        <w:tc>
          <w:tcPr>
            <w:tcW w:type="dxa" w:w="1385"/>
            <w:vAlign w:val="center"/>
          </w:tcPr>
          <w:p>
            <w:pPr>
              <w:spacing w:after="0"/>
            </w:pPr>
            <w:r>
              <w:rPr>
                <w:rFonts w:ascii="Times New Roman" w:hAnsi="Times New Roman" w:eastAsia="宋体"/>
                <w:b w:val="0"/>
                <w:sz w:val="18"/>
              </w:rPr>
              <w:t>0.863036</w:t>
            </w:r>
          </w:p>
        </w:tc>
        <w:tc>
          <w:tcPr>
            <w:tcW w:type="dxa" w:w="1385"/>
            <w:vAlign w:val="center"/>
          </w:tcPr>
          <w:p>
            <w:pPr>
              <w:spacing w:after="0"/>
            </w:pPr>
            <w:r>
              <w:rPr>
                <w:rFonts w:ascii="Times New Roman" w:hAnsi="Times New Roman" w:eastAsia="宋体"/>
                <w:b w:val="0"/>
                <w:sz w:val="18"/>
              </w:rPr>
              <w:t>0.383797</w:t>
            </w:r>
          </w:p>
        </w:tc>
        <w:tc>
          <w:tcPr>
            <w:tcW w:type="dxa" w:w="1385"/>
            <w:vAlign w:val="center"/>
          </w:tcPr>
          <w:p>
            <w:pPr>
              <w:spacing w:after="0"/>
            </w:pPr>
            <w:r>
              <w:rPr>
                <w:rFonts w:ascii="Times New Roman" w:hAnsi="Times New Roman" w:eastAsia="宋体"/>
                <w:b w:val="0"/>
                <w:sz w:val="18"/>
              </w:rPr>
              <w:t>4</w:t>
            </w:r>
          </w:p>
        </w:tc>
        <w:tc>
          <w:tcPr>
            <w:tcW w:type="dxa" w:w="1385"/>
            <w:vAlign w:val="center"/>
          </w:tcPr>
          <w:p>
            <w:pPr>
              <w:spacing w:after="0"/>
            </w:pPr>
            <w:r>
              <w:rPr>
                <w:rFonts w:ascii="Times New Roman" w:hAnsi="Times New Roman" w:eastAsia="宋体"/>
                <w:b w:val="0"/>
                <w:sz w:val="18"/>
              </w:rPr>
              <w:t>火车南站；高升桥；省体育馆；太平园</w:t>
            </w:r>
          </w:p>
        </w:tc>
      </w:tr>
    </w:tbl>
    <w:p/>
    <w:p>
      <w:pPr>
        <w:spacing w:line="360" w:lineRule="auto" w:after="0"/>
        <w:ind w:firstLine="420"/>
      </w:pPr>
      <w:r>
        <w:rPr>
          <w:rFonts w:ascii="Times New Roman" w:hAnsi="Times New Roman" w:eastAsia="宋体"/>
          <w:b w:val="0"/>
          <w:sz w:val="21"/>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pPr>
        <w:pStyle w:val="Heading3"/>
      </w:pPr>
      <w:r>
        <w:t>5.4.2 末端服务半径变化下的布局结果分析</w:t>
      </w:r>
    </w:p>
    <w:p>
      <w:pPr>
        <w:spacing w:line="360" w:lineRule="auto" w:after="0"/>
        <w:ind w:firstLine="420"/>
      </w:pPr>
      <w:r>
        <w:rPr>
          <w:rFonts w:ascii="Times New Roman" w:hAnsi="Times New Roman" w:eastAsia="宋体"/>
          <w:b w:val="0"/>
          <w:sz w:val="21"/>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spacing w:after="0"/>
            </w:pPr>
            <w:r>
              <w:rPr>
                <w:rFonts w:ascii="Times New Roman" w:hAnsi="Times New Roman" w:eastAsia="宋体"/>
                <w:b/>
                <w:sz w:val="18"/>
              </w:rPr>
              <w:t>末端服务半径情景</w:t>
            </w:r>
          </w:p>
        </w:tc>
        <w:tc>
          <w:tcPr>
            <w:tcW w:type="dxa" w:w="1187"/>
            <w:vAlign w:val="center"/>
          </w:tcPr>
          <w:p>
            <w:pPr>
              <w:spacing w:after="0"/>
            </w:pPr>
            <w:r>
              <w:rPr>
                <w:rFonts w:ascii="Times New Roman" w:hAnsi="Times New Roman" w:eastAsia="宋体"/>
                <w:b/>
                <w:sz w:val="18"/>
              </w:rPr>
              <w:t>代表种子</w:t>
            </w:r>
          </w:p>
        </w:tc>
        <w:tc>
          <w:tcPr>
            <w:tcW w:type="dxa" w:w="1187"/>
            <w:vAlign w:val="center"/>
          </w:tcPr>
          <w:p>
            <w:pPr>
              <w:spacing w:after="0"/>
            </w:pPr>
            <w:r>
              <w:rPr>
                <w:rFonts w:ascii="Times New Roman" w:hAnsi="Times New Roman" w:eastAsia="宋体"/>
                <w:b/>
                <w:sz w:val="18"/>
              </w:rPr>
              <w:t>HV</w:t>
            </w:r>
          </w:p>
        </w:tc>
        <w:tc>
          <w:tcPr>
            <w:tcW w:type="dxa" w:w="1187"/>
            <w:vAlign w:val="center"/>
          </w:tcPr>
          <w:p>
            <w:pPr>
              <w:spacing w:after="0"/>
            </w:pPr>
            <w:r>
              <w:rPr>
                <w:rFonts w:ascii="Times New Roman" w:hAnsi="Times New Roman" w:eastAsia="宋体"/>
                <w:b/>
                <w:sz w:val="18"/>
              </w:rPr>
              <w:t>地铁服务比例</w:t>
            </w:r>
          </w:p>
        </w:tc>
        <w:tc>
          <w:tcPr>
            <w:tcW w:type="dxa" w:w="1187"/>
            <w:vAlign w:val="center"/>
          </w:tcPr>
          <w:p>
            <w:pPr>
              <w:spacing w:after="0"/>
            </w:pPr>
            <w:r>
              <w:rPr>
                <w:rFonts w:ascii="Times New Roman" w:hAnsi="Times New Roman" w:eastAsia="宋体"/>
                <w:b/>
                <w:sz w:val="18"/>
              </w:rPr>
              <w:t>启用数</w:t>
            </w:r>
          </w:p>
        </w:tc>
        <w:tc>
          <w:tcPr>
            <w:tcW w:type="dxa" w:w="1187"/>
            <w:vAlign w:val="center"/>
          </w:tcPr>
          <w:p>
            <w:pPr>
              <w:spacing w:after="0"/>
            </w:pPr>
            <w:r>
              <w:rPr>
                <w:rFonts w:ascii="Times New Roman" w:hAnsi="Times New Roman" w:eastAsia="宋体"/>
                <w:b/>
                <w:sz w:val="18"/>
              </w:rPr>
              <w:t>平均接驳距离（km）</w:t>
            </w:r>
          </w:p>
        </w:tc>
        <w:tc>
          <w:tcPr>
            <w:tcW w:type="dxa" w:w="1187"/>
            <w:vAlign w:val="center"/>
          </w:tcPr>
          <w:p>
            <w:pPr>
              <w:spacing w:after="0"/>
            </w:pPr>
            <w:r>
              <w:rPr>
                <w:rFonts w:ascii="Times New Roman" w:hAnsi="Times New Roman" w:eastAsia="宋体"/>
                <w:b/>
                <w:sz w:val="18"/>
              </w:rPr>
              <w:t>启用站点</w:t>
            </w:r>
          </w:p>
        </w:tc>
      </w:tr>
      <w:tr>
        <w:tc>
          <w:tcPr>
            <w:tcW w:type="dxa" w:w="1187"/>
            <w:vAlign w:val="center"/>
          </w:tcPr>
          <w:p>
            <w:pPr>
              <w:spacing w:after="0"/>
            </w:pPr>
            <w:r>
              <w:rPr>
                <w:rFonts w:ascii="Times New Roman" w:hAnsi="Times New Roman" w:eastAsia="宋体"/>
                <w:b w:val="0"/>
                <w:sz w:val="18"/>
              </w:rPr>
              <w:t>3 km</w:t>
            </w:r>
          </w:p>
        </w:tc>
        <w:tc>
          <w:tcPr>
            <w:tcW w:type="dxa" w:w="1187"/>
            <w:vAlign w:val="center"/>
          </w:tcPr>
          <w:p>
            <w:pPr>
              <w:spacing w:after="0"/>
            </w:pPr>
            <w:r>
              <w:rPr>
                <w:rFonts w:ascii="Times New Roman" w:hAnsi="Times New Roman" w:eastAsia="宋体"/>
                <w:b w:val="0"/>
                <w:sz w:val="18"/>
              </w:rPr>
              <w:t>20262517</w:t>
            </w:r>
          </w:p>
        </w:tc>
        <w:tc>
          <w:tcPr>
            <w:tcW w:type="dxa" w:w="1187"/>
            <w:vAlign w:val="center"/>
          </w:tcPr>
          <w:p>
            <w:pPr>
              <w:spacing w:after="0"/>
            </w:pPr>
            <w:r>
              <w:rPr>
                <w:rFonts w:ascii="Times New Roman" w:hAnsi="Times New Roman" w:eastAsia="宋体"/>
                <w:b w:val="0"/>
                <w:sz w:val="18"/>
              </w:rPr>
              <w:t>0.937331</w:t>
            </w:r>
          </w:p>
        </w:tc>
        <w:tc>
          <w:tcPr>
            <w:tcW w:type="dxa" w:w="1187"/>
            <w:vAlign w:val="center"/>
          </w:tcPr>
          <w:p>
            <w:pPr>
              <w:spacing w:after="0"/>
            </w:pPr>
            <w:r>
              <w:rPr>
                <w:rFonts w:ascii="Times New Roman" w:hAnsi="Times New Roman" w:eastAsia="宋体"/>
                <w:b w:val="0"/>
                <w:sz w:val="18"/>
              </w:rPr>
              <w:t>0.330132</w:t>
            </w:r>
          </w:p>
        </w:tc>
        <w:tc>
          <w:tcPr>
            <w:tcW w:type="dxa" w:w="1187"/>
            <w:vAlign w:val="center"/>
          </w:tcPr>
          <w:p>
            <w:pPr>
              <w:spacing w:after="0"/>
            </w:pPr>
            <w:r>
              <w:rPr>
                <w:rFonts w:ascii="Times New Roman" w:hAnsi="Times New Roman" w:eastAsia="宋体"/>
                <w:b w:val="0"/>
                <w:sz w:val="18"/>
              </w:rPr>
              <w:t>4</w:t>
            </w:r>
          </w:p>
        </w:tc>
        <w:tc>
          <w:tcPr>
            <w:tcW w:type="dxa" w:w="1187"/>
            <w:vAlign w:val="center"/>
          </w:tcPr>
          <w:p>
            <w:pPr>
              <w:spacing w:after="0"/>
            </w:pPr>
            <w:r>
              <w:rPr>
                <w:rFonts w:ascii="Times New Roman" w:hAnsi="Times New Roman" w:eastAsia="宋体"/>
                <w:b w:val="0"/>
                <w:sz w:val="18"/>
              </w:rPr>
              <w:t>2.058802</w:t>
            </w:r>
          </w:p>
        </w:tc>
        <w:tc>
          <w:tcPr>
            <w:tcW w:type="dxa" w:w="1187"/>
            <w:vAlign w:val="center"/>
          </w:tcPr>
          <w:p>
            <w:pPr>
              <w:spacing w:after="0"/>
            </w:pPr>
            <w:r>
              <w:rPr>
                <w:rFonts w:ascii="Times New Roman" w:hAnsi="Times New Roman" w:eastAsia="宋体"/>
                <w:b w:val="0"/>
                <w:sz w:val="18"/>
              </w:rPr>
              <w:t>高升桥；省体育馆；太平园；桐梓林</w:t>
            </w:r>
          </w:p>
        </w:tc>
      </w:tr>
      <w:tr>
        <w:tc>
          <w:tcPr>
            <w:tcW w:type="dxa" w:w="1187"/>
            <w:vAlign w:val="center"/>
          </w:tcPr>
          <w:p>
            <w:pPr>
              <w:spacing w:after="0"/>
            </w:pPr>
            <w:r>
              <w:rPr>
                <w:rFonts w:ascii="Times New Roman" w:hAnsi="Times New Roman" w:eastAsia="宋体"/>
                <w:b w:val="0"/>
                <w:sz w:val="18"/>
              </w:rPr>
              <w:t>4 km</w:t>
            </w:r>
          </w:p>
        </w:tc>
        <w:tc>
          <w:tcPr>
            <w:tcW w:type="dxa" w:w="1187"/>
            <w:vAlign w:val="center"/>
          </w:tcPr>
          <w:p>
            <w:pPr>
              <w:spacing w:after="0"/>
            </w:pPr>
            <w:r>
              <w:rPr>
                <w:rFonts w:ascii="Times New Roman" w:hAnsi="Times New Roman" w:eastAsia="宋体"/>
                <w:b w:val="0"/>
                <w:sz w:val="18"/>
              </w:rPr>
              <w:t>20261621</w:t>
            </w:r>
          </w:p>
        </w:tc>
        <w:tc>
          <w:tcPr>
            <w:tcW w:type="dxa" w:w="1187"/>
            <w:vAlign w:val="center"/>
          </w:tcPr>
          <w:p>
            <w:pPr>
              <w:spacing w:after="0"/>
            </w:pPr>
            <w:r>
              <w:rPr>
                <w:rFonts w:ascii="Times New Roman" w:hAnsi="Times New Roman" w:eastAsia="宋体"/>
                <w:b w:val="0"/>
                <w:sz w:val="18"/>
              </w:rPr>
              <w:t>0.946237</w:t>
            </w:r>
          </w:p>
        </w:tc>
        <w:tc>
          <w:tcPr>
            <w:tcW w:type="dxa" w:w="1187"/>
            <w:vAlign w:val="center"/>
          </w:tcPr>
          <w:p>
            <w:pPr>
              <w:spacing w:after="0"/>
            </w:pPr>
            <w:r>
              <w:rPr>
                <w:rFonts w:ascii="Times New Roman" w:hAnsi="Times New Roman" w:eastAsia="宋体"/>
                <w:b w:val="0"/>
                <w:sz w:val="18"/>
              </w:rPr>
              <w:t>0.423889</w:t>
            </w:r>
          </w:p>
        </w:tc>
        <w:tc>
          <w:tcPr>
            <w:tcW w:type="dxa" w:w="1187"/>
            <w:vAlign w:val="center"/>
          </w:tcPr>
          <w:p>
            <w:pPr>
              <w:spacing w:after="0"/>
            </w:pPr>
            <w:r>
              <w:rPr>
                <w:rFonts w:ascii="Times New Roman" w:hAnsi="Times New Roman" w:eastAsia="宋体"/>
                <w:b w:val="0"/>
                <w:sz w:val="18"/>
              </w:rPr>
              <w:t>4</w:t>
            </w:r>
          </w:p>
        </w:tc>
        <w:tc>
          <w:tcPr>
            <w:tcW w:type="dxa" w:w="1187"/>
            <w:vAlign w:val="center"/>
          </w:tcPr>
          <w:p>
            <w:pPr>
              <w:spacing w:after="0"/>
            </w:pPr>
            <w:r>
              <w:rPr>
                <w:rFonts w:ascii="Times New Roman" w:hAnsi="Times New Roman" w:eastAsia="宋体"/>
                <w:b w:val="0"/>
                <w:sz w:val="18"/>
              </w:rPr>
              <w:t>2.648463</w:t>
            </w:r>
          </w:p>
        </w:tc>
        <w:tc>
          <w:tcPr>
            <w:tcW w:type="dxa" w:w="1187"/>
            <w:vAlign w:val="center"/>
          </w:tcPr>
          <w:p>
            <w:pPr>
              <w:spacing w:after="0"/>
            </w:pPr>
            <w:r>
              <w:rPr>
                <w:rFonts w:ascii="Times New Roman" w:hAnsi="Times New Roman" w:eastAsia="宋体"/>
                <w:b w:val="0"/>
                <w:sz w:val="18"/>
              </w:rPr>
              <w:t>火车南站；高升桥；省体育馆；太平园</w:t>
            </w:r>
          </w:p>
        </w:tc>
      </w:tr>
      <w:tr>
        <w:tc>
          <w:tcPr>
            <w:tcW w:type="dxa" w:w="1187"/>
            <w:vAlign w:val="center"/>
          </w:tcPr>
          <w:p>
            <w:pPr>
              <w:spacing w:after="0"/>
            </w:pPr>
            <w:r>
              <w:rPr>
                <w:rFonts w:ascii="Times New Roman" w:hAnsi="Times New Roman" w:eastAsia="宋体"/>
                <w:b w:val="0"/>
                <w:sz w:val="18"/>
              </w:rPr>
              <w:t>5 km</w:t>
            </w:r>
          </w:p>
        </w:tc>
        <w:tc>
          <w:tcPr>
            <w:tcW w:type="dxa" w:w="1187"/>
            <w:vAlign w:val="center"/>
          </w:tcPr>
          <w:p>
            <w:pPr>
              <w:spacing w:after="0"/>
            </w:pPr>
            <w:r>
              <w:rPr>
                <w:rFonts w:ascii="Times New Roman" w:hAnsi="Times New Roman" w:eastAsia="宋体"/>
                <w:b w:val="0"/>
                <w:sz w:val="18"/>
              </w:rPr>
              <w:t>20262719</w:t>
            </w:r>
          </w:p>
        </w:tc>
        <w:tc>
          <w:tcPr>
            <w:tcW w:type="dxa" w:w="1187"/>
            <w:vAlign w:val="center"/>
          </w:tcPr>
          <w:p>
            <w:pPr>
              <w:spacing w:after="0"/>
            </w:pPr>
            <w:r>
              <w:rPr>
                <w:rFonts w:ascii="Times New Roman" w:hAnsi="Times New Roman" w:eastAsia="宋体"/>
                <w:b w:val="0"/>
                <w:sz w:val="18"/>
              </w:rPr>
              <w:t>0.922680</w:t>
            </w:r>
          </w:p>
        </w:tc>
        <w:tc>
          <w:tcPr>
            <w:tcW w:type="dxa" w:w="1187"/>
            <w:vAlign w:val="center"/>
          </w:tcPr>
          <w:p>
            <w:pPr>
              <w:spacing w:after="0"/>
            </w:pPr>
            <w:r>
              <w:rPr>
                <w:rFonts w:ascii="Times New Roman" w:hAnsi="Times New Roman" w:eastAsia="宋体"/>
                <w:b w:val="0"/>
                <w:sz w:val="18"/>
              </w:rPr>
              <w:t>0.336235</w:t>
            </w:r>
          </w:p>
        </w:tc>
        <w:tc>
          <w:tcPr>
            <w:tcW w:type="dxa" w:w="1187"/>
            <w:vAlign w:val="center"/>
          </w:tcPr>
          <w:p>
            <w:pPr>
              <w:spacing w:after="0"/>
            </w:pPr>
            <w:r>
              <w:rPr>
                <w:rFonts w:ascii="Times New Roman" w:hAnsi="Times New Roman" w:eastAsia="宋体"/>
                <w:b w:val="0"/>
                <w:sz w:val="18"/>
              </w:rPr>
              <w:t>3</w:t>
            </w:r>
          </w:p>
        </w:tc>
        <w:tc>
          <w:tcPr>
            <w:tcW w:type="dxa" w:w="1187"/>
            <w:vAlign w:val="center"/>
          </w:tcPr>
          <w:p>
            <w:pPr>
              <w:spacing w:after="0"/>
            </w:pPr>
            <w:r>
              <w:rPr>
                <w:rFonts w:ascii="Times New Roman" w:hAnsi="Times New Roman" w:eastAsia="宋体"/>
                <w:b w:val="0"/>
                <w:sz w:val="18"/>
              </w:rPr>
              <w:t>2.974164</w:t>
            </w:r>
          </w:p>
        </w:tc>
        <w:tc>
          <w:tcPr>
            <w:tcW w:type="dxa" w:w="1187"/>
            <w:vAlign w:val="center"/>
          </w:tcPr>
          <w:p>
            <w:pPr>
              <w:spacing w:after="0"/>
            </w:pPr>
            <w:r>
              <w:rPr>
                <w:rFonts w:ascii="Times New Roman" w:hAnsi="Times New Roman" w:eastAsia="宋体"/>
                <w:b w:val="0"/>
                <w:sz w:val="18"/>
              </w:rPr>
              <w:t>孵化园；倪家桥；太平园</w:t>
            </w:r>
          </w:p>
        </w:tc>
      </w:tr>
    </w:tbl>
    <w:p/>
    <w:p>
      <w:pPr>
        <w:spacing w:line="360" w:lineRule="auto" w:after="0"/>
        <w:ind w:firstLine="420"/>
      </w:pPr>
      <w:r>
        <w:rPr>
          <w:rFonts w:ascii="Times New Roman" w:hAnsi="Times New Roman" w:eastAsia="宋体"/>
          <w:b w:val="0"/>
          <w:sz w:val="21"/>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pPr>
        <w:pStyle w:val="Heading3"/>
      </w:pPr>
      <w:r>
        <w:t>5.4.3 物流货源比例变化下的布局结果分析</w:t>
      </w:r>
    </w:p>
    <w:p>
      <w:pPr>
        <w:spacing w:line="360" w:lineRule="auto" w:after="0"/>
        <w:ind w:firstLine="420"/>
      </w:pPr>
      <w:r>
        <w:rPr>
          <w:rFonts w:ascii="Times New Roman" w:hAnsi="Times New Roman" w:eastAsia="宋体"/>
          <w:b w:val="0"/>
          <w:sz w:val="21"/>
        </w:rPr>
        <w:t>物流货源比例变化用于刻画不同物流园区承担货源规模的变化。当货源更多集中于某一物流园区时，入网短驳路径、地铁干线经过线路和换乘组织压力会发生改变，进而影响候选转运点启用组合和地铁服务比例。与需求规模变化相比，货源比例变化更多反映起点层空间结构对全网布局方案的影响。</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spacing w:after="0"/>
            </w:pPr>
            <w:r>
              <w:rPr>
                <w:rFonts w:ascii="Times New Roman" w:hAnsi="Times New Roman" w:eastAsia="宋体"/>
                <w:b/>
                <w:sz w:val="18"/>
              </w:rPr>
              <w:t>货源比例情景</w:t>
            </w:r>
          </w:p>
        </w:tc>
        <w:tc>
          <w:tcPr>
            <w:tcW w:type="dxa" w:w="2078"/>
            <w:vAlign w:val="center"/>
          </w:tcPr>
          <w:p>
            <w:pPr>
              <w:spacing w:after="0"/>
            </w:pPr>
            <w:r>
              <w:rPr>
                <w:rFonts w:ascii="Times New Roman" w:hAnsi="Times New Roman" w:eastAsia="宋体"/>
                <w:b/>
                <w:sz w:val="18"/>
              </w:rPr>
              <w:t>地铁服务比例</w:t>
            </w:r>
          </w:p>
        </w:tc>
        <w:tc>
          <w:tcPr>
            <w:tcW w:type="dxa" w:w="2078"/>
            <w:vAlign w:val="center"/>
          </w:tcPr>
          <w:p>
            <w:pPr>
              <w:spacing w:after="0"/>
            </w:pPr>
            <w:r>
              <w:rPr>
                <w:rFonts w:ascii="Times New Roman" w:hAnsi="Times New Roman" w:eastAsia="宋体"/>
                <w:b/>
                <w:sz w:val="18"/>
              </w:rPr>
              <w:t>启用数</w:t>
            </w:r>
          </w:p>
        </w:tc>
        <w:tc>
          <w:tcPr>
            <w:tcW w:type="dxa" w:w="2078"/>
            <w:vAlign w:val="center"/>
          </w:tcPr>
          <w:p>
            <w:pPr>
              <w:spacing w:after="0"/>
            </w:pPr>
            <w:r>
              <w:rPr>
                <w:rFonts w:ascii="Times New Roman" w:hAnsi="Times New Roman" w:eastAsia="宋体"/>
                <w:b/>
                <w:sz w:val="18"/>
              </w:rPr>
              <w:t>启用站点</w:t>
            </w:r>
          </w:p>
        </w:tc>
      </w:tr>
      <w:tr>
        <w:tc>
          <w:tcPr>
            <w:tcW w:type="dxa" w:w="2078"/>
            <w:vAlign w:val="center"/>
          </w:tcPr>
          <w:p>
            <w:pPr>
              <w:spacing w:after="0"/>
            </w:pPr>
            <w:r>
              <w:rPr>
                <w:rFonts w:ascii="Times New Roman" w:hAnsi="Times New Roman" w:eastAsia="宋体"/>
                <w:b w:val="0"/>
                <w:sz w:val="18"/>
              </w:rPr>
              <w:t>5:5</w:t>
            </w:r>
          </w:p>
        </w:tc>
        <w:tc>
          <w:tcPr>
            <w:tcW w:type="dxa" w:w="2078"/>
            <w:vAlign w:val="center"/>
          </w:tcPr>
          <w:p>
            <w:pPr>
              <w:spacing w:after="0"/>
            </w:pPr>
            <w:r>
              <w:rPr>
                <w:rFonts w:ascii="Times New Roman" w:hAnsi="Times New Roman" w:eastAsia="宋体"/>
                <w:b w:val="0"/>
                <w:sz w:val="18"/>
              </w:rPr>
              <w:t>0.554080</w:t>
            </w:r>
          </w:p>
        </w:tc>
        <w:tc>
          <w:tcPr>
            <w:tcW w:type="dxa" w:w="2078"/>
            <w:vAlign w:val="center"/>
          </w:tcPr>
          <w:p>
            <w:pPr>
              <w:spacing w:after="0"/>
            </w:pPr>
            <w:r>
              <w:rPr>
                <w:rFonts w:ascii="Times New Roman" w:hAnsi="Times New Roman" w:eastAsia="宋体"/>
                <w:b w:val="0"/>
                <w:sz w:val="18"/>
              </w:rPr>
              <w:t>6</w:t>
            </w:r>
          </w:p>
        </w:tc>
        <w:tc>
          <w:tcPr>
            <w:tcW w:type="dxa" w:w="2078"/>
            <w:vAlign w:val="center"/>
          </w:tcPr>
          <w:p>
            <w:pPr>
              <w:spacing w:after="0"/>
            </w:pPr>
            <w:r>
              <w:rPr>
                <w:rFonts w:ascii="Times New Roman" w:hAnsi="Times New Roman" w:eastAsia="宋体"/>
                <w:b w:val="0"/>
                <w:sz w:val="18"/>
              </w:rPr>
              <w:t>神仙树；高升桥；省体育馆；孵化园；太平园；桐梓林</w:t>
            </w:r>
          </w:p>
        </w:tc>
      </w:tr>
      <w:tr>
        <w:tc>
          <w:tcPr>
            <w:tcW w:type="dxa" w:w="2078"/>
            <w:vAlign w:val="center"/>
          </w:tcPr>
          <w:p>
            <w:pPr>
              <w:spacing w:after="0"/>
            </w:pPr>
            <w:r>
              <w:rPr>
                <w:rFonts w:ascii="Times New Roman" w:hAnsi="Times New Roman" w:eastAsia="宋体"/>
                <w:b w:val="0"/>
                <w:sz w:val="18"/>
              </w:rPr>
              <w:t>6:4</w:t>
            </w:r>
          </w:p>
        </w:tc>
        <w:tc>
          <w:tcPr>
            <w:tcW w:type="dxa" w:w="2078"/>
            <w:vAlign w:val="center"/>
          </w:tcPr>
          <w:p>
            <w:pPr>
              <w:spacing w:after="0"/>
            </w:pPr>
            <w:r>
              <w:rPr>
                <w:rFonts w:ascii="Times New Roman" w:hAnsi="Times New Roman" w:eastAsia="宋体"/>
                <w:b w:val="0"/>
                <w:sz w:val="18"/>
              </w:rPr>
              <w:t>0.485742</w:t>
            </w:r>
          </w:p>
        </w:tc>
        <w:tc>
          <w:tcPr>
            <w:tcW w:type="dxa" w:w="2078"/>
            <w:vAlign w:val="center"/>
          </w:tcPr>
          <w:p>
            <w:pPr>
              <w:spacing w:after="0"/>
            </w:pPr>
            <w:r>
              <w:rPr>
                <w:rFonts w:ascii="Times New Roman" w:hAnsi="Times New Roman" w:eastAsia="宋体"/>
                <w:b w:val="0"/>
                <w:sz w:val="18"/>
              </w:rPr>
              <w:t>5</w:t>
            </w:r>
          </w:p>
        </w:tc>
        <w:tc>
          <w:tcPr>
            <w:tcW w:type="dxa" w:w="2078"/>
            <w:vAlign w:val="center"/>
          </w:tcPr>
          <w:p>
            <w:pPr>
              <w:spacing w:after="0"/>
            </w:pPr>
            <w:r>
              <w:rPr>
                <w:rFonts w:ascii="Times New Roman" w:hAnsi="Times New Roman" w:eastAsia="宋体"/>
                <w:b w:val="0"/>
                <w:sz w:val="18"/>
              </w:rPr>
              <w:t>火车南站；高升桥；省体育馆；太平园；金融城</w:t>
            </w:r>
          </w:p>
        </w:tc>
      </w:tr>
      <w:tr>
        <w:tc>
          <w:tcPr>
            <w:tcW w:type="dxa" w:w="2078"/>
            <w:vAlign w:val="center"/>
          </w:tcPr>
          <w:p>
            <w:pPr>
              <w:spacing w:after="0"/>
            </w:pPr>
            <w:r>
              <w:rPr>
                <w:rFonts w:ascii="Times New Roman" w:hAnsi="Times New Roman" w:eastAsia="宋体"/>
                <w:b w:val="0"/>
                <w:sz w:val="18"/>
              </w:rPr>
              <w:t>7:3</w:t>
            </w:r>
          </w:p>
        </w:tc>
        <w:tc>
          <w:tcPr>
            <w:tcW w:type="dxa" w:w="2078"/>
            <w:vAlign w:val="center"/>
          </w:tcPr>
          <w:p>
            <w:pPr>
              <w:spacing w:after="0"/>
            </w:pPr>
            <w:r>
              <w:rPr>
                <w:rFonts w:ascii="Times New Roman" w:hAnsi="Times New Roman" w:eastAsia="宋体"/>
                <w:b w:val="0"/>
                <w:sz w:val="18"/>
              </w:rPr>
              <w:t>0.388144</w:t>
            </w:r>
          </w:p>
        </w:tc>
        <w:tc>
          <w:tcPr>
            <w:tcW w:type="dxa" w:w="2078"/>
            <w:vAlign w:val="center"/>
          </w:tcPr>
          <w:p>
            <w:pPr>
              <w:spacing w:after="0"/>
            </w:pPr>
            <w:r>
              <w:rPr>
                <w:rFonts w:ascii="Times New Roman" w:hAnsi="Times New Roman" w:eastAsia="宋体"/>
                <w:b w:val="0"/>
                <w:sz w:val="18"/>
              </w:rPr>
              <w:t>4</w:t>
            </w:r>
          </w:p>
        </w:tc>
        <w:tc>
          <w:tcPr>
            <w:tcW w:type="dxa" w:w="2078"/>
            <w:vAlign w:val="center"/>
          </w:tcPr>
          <w:p>
            <w:pPr>
              <w:spacing w:after="0"/>
            </w:pPr>
            <w:r>
              <w:rPr>
                <w:rFonts w:ascii="Times New Roman" w:hAnsi="Times New Roman" w:eastAsia="宋体"/>
                <w:b w:val="0"/>
                <w:sz w:val="18"/>
              </w:rPr>
              <w:t>神仙树；高升桥；省体育馆；太平园</w:t>
            </w:r>
          </w:p>
        </w:tc>
      </w:tr>
      <w:tr>
        <w:tc>
          <w:tcPr>
            <w:tcW w:type="dxa" w:w="2078"/>
            <w:vAlign w:val="center"/>
          </w:tcPr>
          <w:p>
            <w:pPr>
              <w:spacing w:after="0"/>
            </w:pPr>
            <w:r>
              <w:rPr>
                <w:rFonts w:ascii="Times New Roman" w:hAnsi="Times New Roman" w:eastAsia="宋体"/>
                <w:b w:val="0"/>
                <w:sz w:val="18"/>
              </w:rPr>
              <w:t>8:2</w:t>
            </w:r>
          </w:p>
        </w:tc>
        <w:tc>
          <w:tcPr>
            <w:tcW w:type="dxa" w:w="2078"/>
            <w:vAlign w:val="center"/>
          </w:tcPr>
          <w:p>
            <w:pPr>
              <w:spacing w:after="0"/>
            </w:pPr>
            <w:r>
              <w:rPr>
                <w:rFonts w:ascii="Times New Roman" w:hAnsi="Times New Roman" w:eastAsia="宋体"/>
                <w:b w:val="0"/>
                <w:sz w:val="18"/>
              </w:rPr>
              <w:t>0.423889</w:t>
            </w:r>
          </w:p>
        </w:tc>
        <w:tc>
          <w:tcPr>
            <w:tcW w:type="dxa" w:w="2078"/>
            <w:vAlign w:val="center"/>
          </w:tcPr>
          <w:p>
            <w:pPr>
              <w:spacing w:after="0"/>
            </w:pPr>
            <w:r>
              <w:rPr>
                <w:rFonts w:ascii="Times New Roman" w:hAnsi="Times New Roman" w:eastAsia="宋体"/>
                <w:b w:val="0"/>
                <w:sz w:val="18"/>
              </w:rPr>
              <w:t>4</w:t>
            </w:r>
          </w:p>
        </w:tc>
        <w:tc>
          <w:tcPr>
            <w:tcW w:type="dxa" w:w="2078"/>
            <w:vAlign w:val="center"/>
          </w:tcPr>
          <w:p>
            <w:pPr>
              <w:spacing w:after="0"/>
            </w:pPr>
            <w:r>
              <w:rPr>
                <w:rFonts w:ascii="Times New Roman" w:hAnsi="Times New Roman" w:eastAsia="宋体"/>
                <w:b w:val="0"/>
                <w:sz w:val="18"/>
              </w:rPr>
              <w:t>火车南站；高升桥；省体育馆；太平园</w:t>
            </w:r>
          </w:p>
        </w:tc>
      </w:tr>
      <w:tr>
        <w:tc>
          <w:tcPr>
            <w:tcW w:type="dxa" w:w="2078"/>
            <w:vAlign w:val="center"/>
          </w:tcPr>
          <w:p>
            <w:pPr>
              <w:spacing w:after="0"/>
            </w:pPr>
            <w:r>
              <w:rPr>
                <w:rFonts w:ascii="Times New Roman" w:hAnsi="Times New Roman" w:eastAsia="宋体"/>
                <w:b w:val="0"/>
                <w:sz w:val="18"/>
              </w:rPr>
              <w:t>9:1</w:t>
            </w:r>
          </w:p>
        </w:tc>
        <w:tc>
          <w:tcPr>
            <w:tcW w:type="dxa" w:w="2078"/>
            <w:vAlign w:val="center"/>
          </w:tcPr>
          <w:p>
            <w:pPr>
              <w:spacing w:after="0"/>
            </w:pPr>
            <w:r>
              <w:rPr>
                <w:rFonts w:ascii="Times New Roman" w:hAnsi="Times New Roman" w:eastAsia="宋体"/>
                <w:b w:val="0"/>
                <w:sz w:val="18"/>
              </w:rPr>
              <w:t>0.306275</w:t>
            </w:r>
          </w:p>
        </w:tc>
        <w:tc>
          <w:tcPr>
            <w:tcW w:type="dxa" w:w="2078"/>
            <w:vAlign w:val="center"/>
          </w:tcPr>
          <w:p>
            <w:pPr>
              <w:spacing w:after="0"/>
            </w:pPr>
            <w:r>
              <w:rPr>
                <w:rFonts w:ascii="Times New Roman" w:hAnsi="Times New Roman" w:eastAsia="宋体"/>
                <w:b w:val="0"/>
                <w:sz w:val="18"/>
              </w:rPr>
              <w:t>3</w:t>
            </w:r>
          </w:p>
        </w:tc>
        <w:tc>
          <w:tcPr>
            <w:tcW w:type="dxa" w:w="2078"/>
            <w:vAlign w:val="center"/>
          </w:tcPr>
          <w:p>
            <w:pPr>
              <w:spacing w:after="0"/>
            </w:pPr>
            <w:r>
              <w:rPr>
                <w:rFonts w:ascii="Times New Roman" w:hAnsi="Times New Roman" w:eastAsia="宋体"/>
                <w:b w:val="0"/>
                <w:sz w:val="18"/>
              </w:rPr>
              <w:t>火车南站；太平园；衣冠庙</w:t>
            </w:r>
          </w:p>
        </w:tc>
      </w:tr>
    </w:tbl>
    <w:p/>
    <w:p>
      <w:pPr>
        <w:spacing w:line="360" w:lineRule="auto" w:after="0"/>
        <w:ind w:firstLine="420"/>
      </w:pPr>
      <w:r>
        <w:rPr>
          <w:rFonts w:ascii="Times New Roman" w:hAnsi="Times New Roman" w:eastAsia="宋体"/>
          <w:b w:val="0"/>
          <w:sz w:val="21"/>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pPr>
        <w:pStyle w:val="Heading2"/>
      </w:pPr>
      <w:r>
        <w:t>5.5 本章小结</w:t>
      </w:r>
    </w:p>
    <w:p>
      <w:pPr>
        <w:spacing w:line="360" w:lineRule="auto" w:after="0"/>
        <w:ind w:firstLine="420"/>
      </w:pPr>
      <w:r>
        <w:rPr>
          <w:rFonts w:ascii="Times New Roman" w:hAnsi="Times New Roman" w:eastAsia="宋体"/>
          <w:b w:val="0"/>
          <w:sz w:val="21"/>
        </w:rPr>
        <w:t>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个候选站点，为第二阶段布局优化提供决策集合。再次，采用 QVNS-NSGA-II 算法求解双目标布局优化模型，并基于 $Z_1$ 综合成本和 $Z_2$ 地铁服务比例进行 TOPSIS 后评价，得到启用火车南站、高升桥、省体育馆和太平园的基准折中方案。</w:t>
      </w:r>
    </w:p>
    <w:p>
      <w:pPr>
        <w:spacing w:line="360" w:lineRule="auto" w:after="0"/>
        <w:ind w:firstLine="420"/>
      </w:pPr>
      <w:r>
        <w:rPr>
          <w:rFonts w:ascii="Times New Roman" w:hAnsi="Times New Roman" w:eastAsia="宋体"/>
          <w:b w:val="0"/>
          <w:sz w:val="21"/>
        </w:rPr>
        <w:t>从结果看，基准折中方案的地铁服务比例为 0.423889，地铁联运量为 28387.88 SLU/day，启用站点负载率均处于约束范围内，平峰期列车班次占用未超过可用能力。与全公路直送方案相比，TOPSIS 折中方案综合成本略有增加，但能够显著降低公路直送量、道路相关成本和碳排放，体现出地铁联运在城市中心区配送减负和低碳组织方面的潜在价值。算法对比结果表明，QVNS-NSGA-II 在解集质量方面优于典型多目标优化算法，但相较标准 NSGA-II 存在一定计算时间增加。敏感性分析进一步表明，需求规模、末端服务半径和物流货源比例均会影响启用节点组合和地铁服务比例，其中 4 km 末端服务半径在当前案例中表现出较好的折中效果。</w:t>
      </w:r>
    </w:p>
    <w:p>
      <w:pPr>
        <w:spacing w:line="360" w:lineRule="auto" w:after="0"/>
        <w:ind w:firstLine="420"/>
      </w:pPr>
      <w:r>
        <w:rPr>
          <w:rFonts w:ascii="Times New Roman" w:hAnsi="Times New Roman" w:eastAsia="宋体"/>
          <w:b w:val="0"/>
          <w:sz w:val="21"/>
        </w:rPr>
        <w:t>总体而言，本章验证了“候选点评价-布局优化-方案后评价-敏感性分析”的研究框架在城市地铁物流配送转运点布局问题中的适用性。后续定稿仍需补充图件编号、原始数据来源说明、部分结果表的完整指标列和参考文献精确页码，以进一步增强章节的可追溯性、可复现性和盲审稳健性。</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写作前说明</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